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Father,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addition,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Christ will then in his divine nature reign</w:t>
        <w:br w:type="textWrapping"/>
        <w:t xml:space="preserve">with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Calvin): the interpretation </w:t>
        <w:br w:type="textWrapping"/>
        <w:t xml:space="preserve">(of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!), as</w:t>
        <w:br w:type="textWrapping"/>
        <w:t xml:space="preserve">referring to Christ’s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mystical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(Theodoret),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idle subterfuges.” </w:t>
        <w:br w:type="textWrapping"/>
        <w:t xml:space="preserve">De Wette.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refutation of</w:t>
        <w:br w:type="textWrapping"/>
        <w:t xml:space="preserve">these and all other attempts to explain</w:t>
        <w:br w:type="textWrapping"/>
        <w:t xml:space="preserve">away the doctrine here plainly asserted,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ultimate subordination of the Son,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contained in the three precise and unambiguous </w:t>
        <w:br w:type="textWrapping"/>
        <w:t xml:space="preserve">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Himself.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(alone)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may be all [things] in</w:t>
        <w:br w:type="textWrapping"/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ognized as sole Lord and</w:t>
        <w:br w:type="textWrapping"/>
        <w:t xml:space="preserve">King: “all things will be subordinated to</w:t>
        <w:br w:type="textWrapping"/>
        <w:t xml:space="preserve">the Son,—the Son to the Father.” Bengel.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ARGUMENTS FOR THE REALITY </w:t>
        <w:br w:type="textWrapping"/>
        <w:t xml:space="preserve">OF THE RESURRECTION,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</w:t>
        <w:br w:type="textWrapping"/>
        <w:t xml:space="preserve">practice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those who were baptized for</w:t>
        <w:br w:type="textWrapping"/>
        <w:t xml:space="preserve">the dead,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Apostles,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c., who submitted </w:t>
        <w:br w:type="textWrapping"/>
        <w:t xml:space="preserve">to daily peril of death.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Else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resumes the main argument, whic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has been interrupted by the explanation</w:t>
        <w:br w:type="textWrapping"/>
        <w:t xml:space="preserve">since ver. 23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each in his own order.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 it is an ellipsis of ‘if it be as the </w:t>
        <w:br w:type="textWrapping"/>
        <w:t xml:space="preserve">adversaries suppose.’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 shall they</w:t>
        <w:br w:type="textWrapping"/>
        <w:t xml:space="preserve">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There is in these words a tacit reprehension </w:t>
        <w:br w:type="textWrapping"/>
        <w:t xml:space="preserve">of the practice about to be mentioned, </w:t>
        <w:br w:type="textWrapping"/>
        <w:t xml:space="preserve">which it is hardly possible altogether </w:t>
        <w:br w:type="textWrapping"/>
        <w:t xml:space="preserve">to miss. Both by the third person</w:t>
        <w:br w:type="textWrapping"/>
        <w:t xml:space="preserve">aud by the words they which are, he</w:t>
        <w:br w:type="textWrapping"/>
        <w:t xml:space="preserve">indirectly separates himself and those to</w:t>
        <w:br w:type="textWrapping"/>
        <w:t xml:space="preserve">whom he is writing from participation in</w:t>
        <w:br w:type="textWrapping"/>
        <w:t xml:space="preserve">or approval of the practice:—the meaning</w:t>
        <w:br w:type="textWrapping"/>
        <w:t xml:space="preserve">being,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 will become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—‘what account</w:t>
        <w:br w:type="textWrapping"/>
        <w:t xml:space="preserve">can they give of their practice?’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participle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those who are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habit of being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baptized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—not</w:t>
        <w:br w:type="textWrapping"/>
        <w:t xml:space="preserve">past,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those who have been baptized.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The distinction is important as affecting</w:t>
        <w:br w:type="textWrapping"/>
        <w:t xml:space="preserve">the interpretation. See below.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behalf of the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who are spoken of in the next clause and</w:t>
        <w:br w:type="textWrapping"/>
        <w:t xml:space="preserve">throughout the chapter as the subjects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resurrection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any figurative </w:t>
        <w:br w:type="textWrapping"/>
        <w:t xml:space="preserve">sense.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article marking</w:t>
        <w:br w:type="textWrapping"/>
        <w:t xml:space="preserve">the particular dead persons on behalf of</w:t>
        <w:br w:type="textWrapping"/>
        <w:t xml:space="preserve">whom the act took place. Before we pass</w:t>
        <w:br w:type="textWrapping"/>
        <w:t xml:space="preserve">to the explanation, it will be well to go</w:t>
        <w:br w:type="textWrapping"/>
        <w:t xml:space="preserve">through the next question: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dead men</w:t>
        <w:br w:type="textWrapping"/>
        <w:t xml:space="preserve">are not raised at all, why do they trouble</w:t>
        <w:br w:type="textWrapping"/>
        <w:t xml:space="preserve">themselves to be baptized for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(so,</w:t>
        <w:br w:type="textWrapping"/>
        <w:t xml:space="preserve">and not as in A.V., is the sentence to</w:t>
        <w:br w:type="textWrapping"/>
        <w:t xml:space="preserve">be arranged)? Thus much being said 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plain meaning of the words used,</w:t>
        <w:br w:type="textWrapping"/>
        <w:t xml:space="preserve">there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 doubt as to their interpretation. </w:t>
        <w:br w:type="textWrapping"/>
        <w:t xml:space="preserve">The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legitimate 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is,</w:t>
        <w:br w:type="textWrapping"/>
        <w:t xml:space="preserve">to a practice, not otherwise known to us,</w:t>
        <w:br w:type="textWrapping"/>
        <w:t xml:space="preserve">not mentioned here with any approval by</w:t>
        <w:br w:type="textWrapping"/>
        <w:t xml:space="preserve">the Apostle, not generally prevalent, but</w:t>
        <w:br w:type="textWrapping"/>
        <w:t xml:space="preserve">in use by some,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survivors allowing themselves </w:t>
        <w:br w:type="textWrapping"/>
        <w:t xml:space="preserve">to be baptized on behalf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(believing?)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friends who had died without</w:t>
        <w:br w:type="textWrapping"/>
        <w:t xml:space="preserve">baptism.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subsequent similar</w:t>
        <w:br w:type="textWrapping"/>
        <w:t xml:space="preserve">practices of the Cerinthians and Marcionites</w:t>
        <w:br w:type="textWrapping"/>
        <w:t xml:space="preserve">this may or may not have been connected.</w:t>
        <w:br w:type="textWrapping"/>
        <w:t xml:space="preserve">All we clearly see from the text, is that</w:t>
        <w:br w:type="textWrapping"/>
        <w:t xml:space="preserve">it unquestionably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exist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other</w:t>
        <w:br w:type="textWrapping"/>
        <w:t xml:space="preserve">principal interpretations are discussed in</w:t>
        <w:br w:type="textWrapping"/>
        <w:t xml:space="preserve">my Greek Test. Bengel well says that</w:t>
        <w:br w:type="textWrapping"/>
        <w:t xml:space="preserve">“even to catalogue all of them would require </w:t>
        <w:br w:type="textWrapping"/>
        <w:t xml:space="preserve">a dissertation.” I may briefly say</w:t>
        <w:br w:type="textWrapping"/>
        <w:t xml:space="preserve">here that all labour under one of the following </w:t>
        <w:br w:type="textWrapping"/>
        <w:t xml:space="preserve">fatal faults, either: (1) they make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figurative in meaning;</w:t>
        <w:br w:type="textWrapping"/>
        <w:t xml:space="preserve">(2) they give an unnatural sense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behalf of;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(3) they make the</w:t>
        <w:br w:type="textWrapping"/>
        <w:t xml:space="preserve">appeal to refer to some feature common to</w:t>
        <w:br w:type="textWrapping"/>
        <w:t xml:space="preserve">the baptism of all Christians. The only</w:t>
        <w:br w:type="textWrapping"/>
        <w:t xml:space="preserve">justifiable rendering, as given above, is</w:t>
        <w:br w:type="textWrapping"/>
        <w:t xml:space="preserve">adopted by Ambrose, and by Anselm, Erasmus, </w:t>
        <w:br w:type="textWrapping"/>
        <w:t xml:space="preserve">Grotius, &amp;c., and recently by some of the</w:t>
        <w:br w:type="textWrapping"/>
        <w:t xml:space="preserve">principal modern expositors. The ordinary</w:t>
        <w:br w:type="textWrapping"/>
        <w:t xml:space="preserve">objection to it is, that thus the Apostle</w:t>
        <w:br w:type="textWrapping"/>
        <w:t xml:space="preserve">would be giving his sanction to a superstitious </w:t>
        <w:br w:type="textWrapping"/>
        <w:t xml:space="preserve">usage, or at all events mentioning</w:t>
        <w:br w:type="textWrapping"/>
        <w:t xml:space="preserve">it without reprobation. But this is easily</w:t>
        <w:br w:type="textWrapping"/>
        <w:t xml:space="preserve">answered, by remembering that if the</w:t>
        <w:br w:type="textWrapping"/>
        <w:t xml:space="preserve">above view is correct, he does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mention</w:t>
        <w:br w:type="textWrapping"/>
        <w:t xml:space="preserve">it without a slur on it;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more completely </w:t>
        <w:br w:type="textWrapping"/>
        <w:t xml:space="preserve">still, by observing that he thus</w:t>
        <w:br w:type="textWrapping"/>
        <w:t xml:space="preserve">uses a custom which otherwise would displease </w:t>
        <w:br w:type="textWrapping"/>
        <w:t xml:space="preserve">him, to shew the untenableness of</w:t>
        <w:br w:type="textWrapping"/>
        <w:t xml:space="preserve">the error which he is combating: reserving, </w:t>
        <w:br w:type="textWrapping"/>
        <w:t xml:space="preserve">perhaps, the reprehension of the practice </w:t>
        <w:br w:type="textWrapping"/>
        <w:t xml:space="preserve">for its proper season. Stanley’s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luding </w:t>
        <w:br w:type="textWrapping"/>
        <w:t xml:space="preserve">remarks are worth quoting: “On</w:t>
        <w:br w:type="textWrapping"/>
        <w:t xml:space="preserve">the whole, therefore, this explanation of</w:t>
        <w:br w:type="textWrapping"/>
        <w:t xml:space="preserve">the passage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given 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may be</w:t>
        <w:br w:type="textWrapping"/>
        <w:t xml:space="preserve">safely accepted, (1) as exhibiting a curious</w:t>
        <w:br w:type="textWrapping"/>
        <w:t xml:space="preserve">relic of primitive superstition, which, after</w:t>
        <w:br w:type="textWrapping"/>
        <w:t xml:space="preserve">having, as the words imply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(?), prevailed</w:t>
        <w:br w:type="textWrapping"/>
        <w:t xml:space="preserve">generally in the apostolic church, gradually</w:t>
        <w:br w:type="textWrapping"/>
        <w:t xml:space="preserve">dwindled away till it was only to be found</w:t>
        <w:br w:type="textWrapping"/>
        <w:t xml:space="preserve">in some obscure sects, where it lost its original </w:t>
        <w:br w:type="textWrapping"/>
        <w:t xml:space="preserve">significance: (2) as containing an</w:t>
        <w:br w:type="textWrapping"/>
        <w:t xml:space="preserve">example of the Apostle’s mode of dealing</w:t>
        <w:br w:type="textWrapping"/>
        <w:t xml:space="preserve">with a practice, with which he could have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Hbx11DTepNEuUu8+VZC4NAOmDQ==">CgMxLjA4AHIhMXVBa0t1QlhQUWxDWFdzLU1Xc3hqSUM4cGlBLUhjWEct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