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br w:type="textWrapping"/>
        <w:t xml:space="preserve">{9} door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reff.: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 opportunity of action,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refers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extent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</w:t>
        <w:br w:type="textWrapping"/>
        <w:t xml:space="preserve">action thus opened before him: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effectual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to its requirements: neither of them (though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may be referred to a door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properly </w:t>
        <w:br w:type="textWrapping"/>
        <w:t xml:space="preserve">agreeing with the figure, but both</w:t>
        <w:br w:type="textWrapping"/>
        <w:t xml:space="preserve">with the reality.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many adversaries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Acts xix. 9, 23 ff.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10, 11.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Recommendation of Timothy to</w:t>
        <w:br w:type="textWrapping"/>
        <w:t xml:space="preserve">their good reception and offices.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had</w:t>
        <w:br w:type="textWrapping"/>
        <w:t xml:space="preserve">preceded Paul (Acts xix. 22) in the journey</w:t>
        <w:br w:type="textWrapping"/>
        <w:t xml:space="preserve">to Macedonia, From the expression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  <w:br w:type="textWrapping"/>
        <w:t xml:space="preserve">Timothy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it would appear to have</w:t>
        <w:br w:type="textWrapping"/>
        <w:t xml:space="preserve">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probable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not quite certain, that</w:t>
        <w:br w:type="textWrapping"/>
        <w:t xml:space="preserve">he would visit them. In ch. iv. 17 he is</w:t>
        <w:br w:type="textWrapping"/>
        <w:t xml:space="preserve">described as sent 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for that purpose: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</w:t>
        <w:br w:type="textWrapping"/>
        <w:t xml:space="preserve">that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may merely refer to the necessary </w:t>
        <w:br w:type="textWrapping"/>
        <w:t xml:space="preserve">uncertainties of the journey.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 without fear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There must have been</w:t>
        <w:br w:type="textWrapping"/>
        <w:t xml:space="preserve">some special reason for this caution respecting </w:t>
        <w:br w:type="textWrapping"/>
        <w:t xml:space="preserve">Timothy besides that assigned by</w:t>
        <w:br w:type="textWrapping"/>
        <w:t xml:space="preserve">Meyer, &amp;c., that he would naturally be depreciated </w:t>
        <w:br w:type="textWrapping"/>
        <w:t xml:space="preserve">as only a subordinate of Paul,</w:t>
        <w:br w:type="textWrapping"/>
        <w:t xml:space="preserve">whom so many of them opposed. His</w:t>
        <w:br w:type="textWrapping"/>
        <w:t xml:space="preserve">youth occurs to us, mentioned 1 Tim. iv. 12:</w:t>
        <w:br w:type="textWrapping"/>
        <w:t xml:space="preserve">but even that is not enough, and would</w:t>
        <w:br w:type="textWrapping"/>
        <w:t xml:space="preserve">hardly be intended here without some reference </w:t>
        <w:br w:type="textWrapping"/>
        <w:t xml:space="preserve">to it. De Wette’s conjecture may</w:t>
        <w:br w:type="textWrapping"/>
        <w:t xml:space="preserve">not be without foundation, that he was</w:t>
        <w:br w:type="textWrapping"/>
        <w:t xml:space="preserve">perhaps of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timid disposition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Meyer objects </w:t>
        <w:br w:type="textWrapping"/>
        <w:t xml:space="preserve">that we have no historical trace of</w:t>
        <w:br w:type="textWrapping"/>
        <w:t xml:space="preserve">this: but I think some are to be found in</w:t>
        <w:br w:type="textWrapping"/>
        <w:t xml:space="preserve">1 Tim.:—e. g. iii. 15 (see note) ; v. 22, 23.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work of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ch. xv.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58, note.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11, in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without strife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contention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 look for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“He says this,” observes Chrysostom, “as a</w:t>
        <w:br w:type="textWrapping"/>
        <w:t xml:space="preserve">caution to them, in order that, knowing that</w:t>
        <w:br w:type="textWrapping"/>
        <w:t xml:space="preserve">whatever treatment Timothy should receive</w:t>
        <w:br w:type="textWrapping"/>
        <w:t xml:space="preserve">at their hands would be reported to the</w:t>
        <w:br w:type="textWrapping"/>
        <w:t xml:space="preserve">Apostle, they might be more courteous to</w:t>
        <w:br w:type="textWrapping"/>
        <w:t xml:space="preserve">him:” “and at the same time,” adds Theophylact, </w:t>
        <w:br w:type="textWrapping"/>
        <w:t xml:space="preserve">“making Timothy more the object</w:t>
        <w:br w:type="textWrapping"/>
        <w:t xml:space="preserve">of their respect, when they heard how</w:t>
        <w:br w:type="textWrapping"/>
        <w:t xml:space="preserve">important he was to the Apostle, so that he</w:t>
        <w:br w:type="textWrapping"/>
        <w:t xml:space="preserve">expected him.”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would appear, comparing ver. 12, that</w:t>
        <w:br w:type="textWrapping"/>
        <w:t xml:space="preserve">more brethren besides Erastus (Acts xix.</w:t>
        <w:br w:type="textWrapping"/>
        <w:t xml:space="preserve">22)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accompanied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Timotheus to Macedonia.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Apollos: that he was not willing</w:t>
        <w:br w:type="textWrapping"/>
        <w:t xml:space="preserve">at present to go to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excuses</w:t>
        <w:br w:type="textWrapping"/>
        <w:t xml:space="preserve">Apollos from coming that the Corinthians</w:t>
        <w:br w:type="textWrapping"/>
        <w:t xml:space="preserve">might not imagine that the hindrance had</w:t>
        <w:br w:type="textWrapping"/>
        <w:t xml:space="preserve">arisen from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Apostle. Meyer remarks, </w:t>
        <w:br w:type="textWrapping"/>
        <w:t xml:space="preserve">perhaps the Corinthians had expressly </w:t>
        <w:br w:type="textWrapping"/>
        <w:t xml:space="preserve">desired that Apollos should be sent</w:t>
        <w:br w:type="textWrapping"/>
        <w:t xml:space="preserve">to them.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perhaps,</w:t>
        <w:br w:type="textWrapping"/>
        <w:t xml:space="preserve">those who went with Timotheus (see above):</w:t>
        <w:br w:type="textWrapping"/>
        <w:t xml:space="preserve">perhaps those who were to bear this letter,</w:t>
        <w:br w:type="textWrapping"/>
        <w:t xml:space="preserve">ver. 17.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it merely</w:t>
        <w:br w:type="textWrapping"/>
        <w:t xml:space="preserve">couples the exhortation with its result.</w:t>
        <w:br w:type="textWrapping"/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convenient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present time</w:t>
        <w:br w:type="textWrapping"/>
        <w:t xml:space="preserve">not seeming to him a suitable one: apparently </w:t>
        <w:br w:type="textWrapping"/>
        <w:t xml:space="preserve">on account of the divisions hinted at</w:t>
        <w:br w:type="textWrapping"/>
        <w:t xml:space="preserve">in the beginning of the Epistle.</w:t>
        <w:br w:type="textWrapping"/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“To shew them that not on their</w:t>
        <w:br w:type="textWrapping"/>
        <w:t xml:space="preserve">teachers but on themselves depended their</w:t>
        <w:br w:type="textWrapping"/>
        <w:t xml:space="preserve">hopes of salvation, he says, watch, for that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THifxDV5Ox/Uswtk2NO2uG1cAw==">CgMxLjA4AHIhMVBnLUtpRzBPeExTU0RTZ2pkTk1ISGtJem1aVTktY21o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