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10.] who delivered us from so great a</w:t>
        <w:br w:type="textWrapping"/>
        <w:t xml:space="preserve">death, and will deliver us,—on whom</w:t>
        <w:br w:type="textWrapping"/>
        <w:t xml:space="preserve">we hope that He will also continue to</w:t>
        <w:br w:type="textWrapping"/>
        <w:t xml:space="preserve">deliver us.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first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will deliver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regards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immediate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future,—the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will</w:t>
        <w:br w:type="textWrapping"/>
        <w:t xml:space="preserve">continue to deliver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continuance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</w:t>
        <w:br w:type="textWrapping"/>
        <w:t xml:space="preserve">God’s help in time distant and uncertain.</w:t>
        <w:br w:type="textWrapping"/>
        <w:t xml:space="preserve">—The whole verse (as De Wette confesses, who although he repudiates the</w:t>
        <w:br w:type="textWrapping"/>
        <w:t xml:space="preserve">Ephesian tumult, yet interprets the passage</w:t>
        <w:br w:type="textWrapping"/>
        <w:t xml:space="preserve">as alluding to external danger) seems to</w:t>
        <w:br w:type="textWrapping"/>
        <w:t xml:space="preserve">favour the idea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bodily sickness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 in</w:t>
        <w:br w:type="textWrapping"/>
        <w:t xml:space="preserve">the Apostle’s mind.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various</w:t>
        <w:br w:type="textWrapping"/>
        <w:t xml:space="preserve">possible renderings of the latter part of</w:t>
        <w:br w:type="textWrapping"/>
        <w:t xml:space="preserve">this verse, see in my Greek Test.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12—24.]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EXPRESSION OF HIS CONFIDENCE IN HIS INTEGRITY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PURPOSE</w:t>
        <w:br w:type="textWrapping"/>
        <w:t xml:space="preserve">TOWARDS THEM (12—14), AND DEFENCE</w:t>
        <w:br w:type="textWrapping"/>
        <w:t xml:space="preserve">OF HIMSELF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AGAINST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CHARGE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FICKLENESS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PURPOSE IN NOT HAYING</w:t>
        <w:br w:type="textWrapping"/>
        <w:t xml:space="preserve">COME TO THEM (15—24).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For,</w:t>
        <w:br w:type="textWrapping"/>
        <w:t xml:space="preserve">reason why they should help him with</w:t>
        <w:br w:type="textWrapping"/>
        <w:t xml:space="preserve">their united prayers.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holiness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sincerity of God]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either ‘belonging to God, where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is spoken of, Matt. vi. 38, or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hich is the</w:t>
        <w:br w:type="textWrapping"/>
        <w:t xml:space="preserve">gift of God,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Rom. iii. 21, 22,—or</w:t>
        <w:br w:type="textWrapping"/>
        <w:t xml:space="preserve">better than either, as the A. V. paraphrases</w:t>
        <w:br w:type="textWrapping"/>
        <w:t xml:space="preserve">it,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‘godly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maintained as in the service of and with respect to God. Calvin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interprets it,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the sight of God.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not in fleshly wisdom]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which fleshly</w:t>
        <w:br w:type="textWrapping"/>
        <w:t xml:space="preserve">wisdom is any thing but holy and pure,</w:t>
        <w:br w:type="textWrapping"/>
        <w:t xml:space="preserve">having many windings and insincerities in</w:t>
        <w:br w:type="textWrapping"/>
        <w:t xml:space="preserve">order to captivate men.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in the</w:t>
        <w:br w:type="textWrapping"/>
        <w:t xml:space="preserve">grace of God]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i.e. in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grace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 he</w:t>
        <w:br w:type="textWrapping"/>
        <w:t xml:space="preserve">had received (Rom. i. 5),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 obedience of</w:t>
        <w:br w:type="textWrapping"/>
        <w:t xml:space="preserve">the faith among all the nations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”—the</w:t>
        <w:br w:type="textWrapping"/>
        <w:t xml:space="preserve">grace of his apostleship. To this he often</w:t>
        <w:br w:type="textWrapping"/>
        <w:t xml:space="preserve">refers, see Rom. xii, 3, xv. 15; Eph, iii.</w:t>
        <w:br w:type="textWrapping"/>
        <w:t xml:space="preserve">2, al.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more abundantly]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 Not that</w:t>
        <w:br w:type="textWrapping"/>
        <w:t xml:space="preserve">his conversation among others had been</w:t>
        <w:br w:type="textWrapping"/>
        <w:t xml:space="preserve">less sincere: but because he had to shew</w:t>
        <w:br w:type="textWrapping"/>
        <w:t xml:space="preserve">more proofs of his sincere conversation</w:t>
        <w:br w:type="textWrapping"/>
        <w:t xml:space="preserve">among the Corinthians: having preached</w:t>
        <w:br w:type="textWrapping"/>
        <w:t xml:space="preserve">the Gospel gratis, and without charge to</w:t>
        <w:br w:type="textWrapping"/>
        <w:t xml:space="preserve">them, sparing their weakness.” But perhaps it may relate only to the longer time,</w:t>
        <w:br w:type="textWrapping"/>
        <w:t xml:space="preserve">and greater opportunities which he had had</w:t>
        <w:br w:type="textWrapping"/>
        <w:t xml:space="preserve">at Corinth for shewing his purity of purpose.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13, 14.] {13}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Confirmation of the foregoing assertion.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we do not write</w:t>
        <w:br w:type="textWrapping"/>
        <w:t xml:space="preserve">to you any other things, except those</w:t>
        <w:br w:type="textWrapping"/>
        <w:t xml:space="preserve">which ye read or even acknowledge,</w:t>
        <w:br w:type="textWrapping"/>
        <w:t xml:space="preserve">and I hope shall continue to acknowledge to the end: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—i.e. ‘my character in</w:t>
        <w:br w:type="textWrapping"/>
        <w:t xml:space="preserve">my writings is one and the same, not fickle</w:t>
        <w:br w:type="textWrapping"/>
        <w:t xml:space="preserve">and changing, but such as past facts have</w:t>
        <w:br w:type="textWrapping"/>
        <w:t xml:space="preserve">substantiated it to be, and as I hope future facts to the end of my life will continue to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NR8XtD4WIZT9F35yFGnIvi6NdA==">CgMxLjA4AHIhMUUxSXdkcnJTazVWZzNJOTR5S0xyNFNCY0FxbVVuZS1G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