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discussed in my Greek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confidence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(reposing trust 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 all, that my joy is that of all of you: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trusting that you too would feel that</w:t>
        <w:br w:type="textWrapping"/>
        <w:t xml:space="preserve">there was sufficient reason for the post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onement, if it interfered with our mutual</w:t>
        <w:br w:type="textWrapping"/>
        <w:t xml:space="preserve">joy.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Meyer well observes, that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spite of the existence</w:t>
        <w:br w:type="textWrapping"/>
        <w:t xml:space="preserve">of an anti-pauline faction in the Corinthian church, is a true example of the love</w:t>
        <w:br w:type="textWrapping"/>
        <w:t xml:space="preserve">which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believeth all things, hopeth all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1 Cor. xiii. 7.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4.]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Explanation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(for)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 did not</w:t>
        <w:br w:type="textWrapping"/>
        <w:t xml:space="preserve">write in levity of purpose, but under great</w:t>
        <w:br w:type="textWrapping"/>
        <w:t xml:space="preserve">trouble of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 to grieve them, but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testify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love: he wrote,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was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inducement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much tribulation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(inward, of spirit, not outward)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anguish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heart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(under the accompaniment</w:t>
        <w:br w:type="textWrapping"/>
        <w:t xml:space="preserve">and as it were investiture of)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many tears.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more abundantly]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St. Paul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than to other churches (?)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'—so</w:t>
        <w:br w:type="textWrapping"/>
        <w:t xml:space="preserve">Chrysostom (referring to 1 Cor. iv. 15;</w:t>
        <w:br w:type="textWrapping"/>
        <w:t xml:space="preserve">ix. 2, &amp;c.): Estius thinks, the comparative</w:t>
        <w:br w:type="textWrapping"/>
        <w:t xml:space="preserve">is not to be pressed, but understood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overmuch’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A. V.) in ver. 7,—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exceedingly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5—11.]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DIGRESSIVE REFERENCE TO</w:t>
        <w:br w:type="textWrapping"/>
        <w:t xml:space="preserve">THE CASE OF THE INCESTUOUS PERSON,</w:t>
        <w:br w:type="textWrapping"/>
        <w:t xml:space="preserve">WHOM THE APOSTLE ORDERS NOW TO BE</w:t>
        <w:br w:type="textWrapping"/>
        <w:t xml:space="preserve">FORGIVEN, AND REINSTATED. From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sorrow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former verses, to him</w:t>
        <w:br w:type="textWrapping"/>
        <w:t xml:space="preserve">who was one of the principal occasions of</w:t>
        <w:br w:type="textWrapping"/>
        <w:t xml:space="preserve">tlat grief, the transition is easy.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if any one hath caused sorrow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 delicate way of pointing 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had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occasioned it), he hath grieved, not me</w:t>
        <w:br w:type="textWrapping"/>
        <w:t xml:space="preserve">(not,—‘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me,’ which destroys the</w:t>
        <w:br w:type="textWrapping"/>
        <w:t xml:space="preserve">meaning,—‘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aggrieved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person,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but in part (i.e. more or less;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partially’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I be not too heavy on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gives the reason why he used the</w:t>
        <w:br w:type="textWrapping"/>
        <w:t xml:space="preserve">expression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more or less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which qualifies</w:t>
        <w:br w:type="textWrapping"/>
        <w:t xml:space="preserve">the blame cast on the offender),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of</w:t>
        <w:br w:type="textWrapping"/>
        <w:t xml:space="preserve">you.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the other renderings discussed</w:t>
        <w:br w:type="textWrapping"/>
        <w:t xml:space="preserve">in my Greek Test.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 to such a</w:t>
        <w:br w:type="textWrapping"/>
        <w:t xml:space="preserve">man]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Meyer remarks on the expression as</w:t>
        <w:br w:type="textWrapping"/>
        <w:t xml:space="preserve">being used in mildness, not to designate</w:t>
        <w:br w:type="textWrapping"/>
        <w:t xml:space="preserve">any particular person: but the same designation is employed in 1 Cor. v. 5.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punishment: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 it was,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 are unable with certainty to say; but 1 Cor. v.</w:t>
        <w:br w:type="textWrapping"/>
        <w:t xml:space="preserve">seems to point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excommunication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forming at least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it. But it was not a</w:t>
        <w:br w:type="textWrapping"/>
        <w:t xml:space="preserve">formal and public, only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voluntary individual abstinence from communion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</w:t>
        <w:br w:type="textWrapping"/>
        <w:t xml:space="preserve">him, as is shewn by its being inflicted by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more part of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only: the anti-pauline party probably refusing compliance</w:t>
        <w:br w:type="textWrapping"/>
        <w:t xml:space="preserve">with the Apostle’s command.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sufficient]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though that would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magnitude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sufficient, as having:</w:t>
        <w:br w:type="textWrapping"/>
        <w:t xml:space="preserve">produced its desired effect, penitence.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 that on the contrary you (should)</w:t>
        <w:br w:type="textWrapping"/>
        <w:t xml:space="preserve">rather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(than continue the punishment)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forgive and comfort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&amp;c. Not, as A. V.,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overmuch sorrow:’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by the increase of sorrow which will come on the</w:t>
        <w:br w:type="textWrapping"/>
        <w:t xml:space="preserve">continuance of his punishment.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expression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 swallowed up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does not set</w:t>
        <w:br w:type="textWrapping"/>
        <w:t xml:space="preserve">any definite result of the excessive sorrow</w:t>
        <w:br w:type="textWrapping"/>
        <w:t xml:space="preserve">before them, such as apostasy, or suicide,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e++Mpq9XPLhXBDQr098v0N2dXQ==">AMUW2mWOtHnNOXTUMtuERrsRpWPP9KhQX6HycaNqIgYMX5gt1DsZscopBw1/3C+M+IooNmsxPjnOVKwcvKSSapjd8gkWDWCSk+xL+6a6kZntkO06UixYCKM=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