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earts Christ had written it by His Spirit.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bear on my heart, as a testimony to all</w:t>
        <w:br w:type="textWrapping"/>
        <w:t xml:space="preserve">men, that which Christ has by His Spirit</w:t>
        <w:br w:type="textWrapping"/>
        <w:t xml:space="preserve">written in your hearts.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the tables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stone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flesh, see Exodus, as above, Prov. iii. 3; vii. 3; Jer. xxxi. 31—34, and on the contrast, also here hinted at in the background, between the heart of stone and the heart of flesh, Ezek. xi. 19; xxxvi. 26.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4—11.]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honour of his apostolic</w:t>
        <w:br w:type="textWrapping"/>
        <w:t xml:space="preserve">office was no personal vanity, for all the</w:t>
        <w:br w:type="textWrapping"/>
        <w:t xml:space="preserve">ability of the Apostles came from God, who</w:t>
        <w:br w:type="textWrapping"/>
        <w:t xml:space="preserve">had made them able ministers of the new</w:t>
        <w:br w:type="textWrapping"/>
        <w:t xml:space="preserve">covenant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(4—6)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 a ministration infinitely</w:t>
        <w:br w:type="textWrapping"/>
        <w:t xml:space="preserve">more glorious than that of the old dispensation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(7—11).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connexion with the foregoing is immediate: he</w:t>
        <w:br w:type="textWrapping"/>
        <w:t xml:space="preserve">had just spoken of his consciousness of</w:t>
        <w:br w:type="textWrapping"/>
        <w:t xml:space="preserve">apostolic success among them (which assertion would be true also of other churches</w:t>
        <w:br w:type="textWrapping"/>
        <w:t xml:space="preserve">which he had founded) being his worldwide recommendation. It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confidence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which he here speaks.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Such confidence, however, we possess through Christ</w:t>
        <w:br w:type="textWrapping"/>
        <w:t xml:space="preserve">toward God: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‘it is no vain boast, but.</w:t>
        <w:br w:type="textWrapping"/>
        <w:t xml:space="preserve">rests_on power imparted to us through</w:t>
        <w:br w:type="textWrapping"/>
        <w:t xml:space="preserve">Christ in regard to God, in reference to</w:t>
        <w:br w:type="textWrapping"/>
        <w:t xml:space="preserve">God’s work and our own account to be</w:t>
        <w:br w:type="textWrapping"/>
        <w:t xml:space="preserve">given to Him.’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5.] Not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‘I</w:t>
        <w:br w:type="textWrapping"/>
        <w:t xml:space="preserve">mean not, that’....)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are able</w:t>
        <w:br w:type="textWrapping"/>
        <w:t xml:space="preserve">to think any thing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(to carry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  <w:br w:type="textWrapping"/>
        <w:t xml:space="preserve">the processes of reasoning or judgment,</w:t>
        <w:br w:type="textWrapping"/>
        <w:t xml:space="preserve">or faith belonging to our apostolic calling: </w:t>
        <w:br w:type="textWrapping"/>
        <w:t xml:space="preserve">there is no ellipsis, ‘any thing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or</w:t>
        <w:br w:type="textWrapping"/>
        <w:t xml:space="preserve">“good,’ or the like)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ourselves, as if from</w:t>
        <w:br w:type="textWrapping"/>
        <w:t xml:space="preserve">ourselves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ourselves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are parallel the latter more definitely</w:t>
        <w:br w:type="textWrapping"/>
        <w:t xml:space="preserve">pointing to_ourselyes as the origin),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—but</w:t>
        <w:br w:type="textWrapping"/>
        <w:t xml:space="preserve">our ability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(to carry on any such Proce)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its source)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6.] who also hath enabled us as ministers of the new covenant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gospel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Eph. iii. 7; Col. i. 23, as distinguished from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law: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1 Cor. xi. 25; Gal. iv. 24:—the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stone tables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fleshy tables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 still borne in mind, and lead on to a fuller comparison of the two covenants),—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[mi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nisters]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which, viz. in</w:t>
        <w:br w:type="textWrapping"/>
        <w:t xml:space="preserve">formal and literal precept, the Mosaic law</w:t>
        <w:br w:type="textWrapping"/>
        <w:t xml:space="preserve">consisted),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which,</w:t>
        <w:br w:type="textWrapping"/>
        <w:t xml:space="preserve">viz. in the inward guiding of the Spirit of</w:t>
        <w:br w:type="textWrapping"/>
        <w:t xml:space="preserve">God, the gospel consists. Bengel remarks:</w:t>
        <w:br w:type="textWrapping"/>
        <w:t xml:space="preserve">“Pa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l, even when he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writing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</w:t>
        <w:br w:type="textWrapping"/>
        <w:t xml:space="preserve">carrying on the ministration not of the</w:t>
        <w:br w:type="textWrapping"/>
        <w:t xml:space="preserve">letter, but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Moses, even when</w:t>
        <w:br w:type="textWrapping"/>
        <w:t xml:space="preserve">he wrote not, was a minister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letter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(mere formal and literal precept of the law)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killeth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in Rom. vii.,—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knowledge of sin, its guilt and</w:t>
        <w:br w:type="textWrapping"/>
        <w:t xml:space="preserve">its_punishment. The reference is not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the result of sin</w:t>
        <w:br w:type="textWrapping"/>
        <w:t xml:space="preserve">where there 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nor to the law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executing punishment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the</w:t>
        <w:br w:type="textWrapping"/>
        <w:t xml:space="preserve">gospel, i.e. God’s Holy Spirit, acting in and</w:t>
        <w:br w:type="textWrapping"/>
        <w:t xml:space="preserve">through Christ, Who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became a life-giving</w:t>
        <w:br w:type="textWrapping"/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1 Cor. xv. 45. See also below, ver.</w:t>
        <w:br w:type="textWrapping"/>
        <w:t xml:space="preserve">17)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giveth 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merely life eternal, but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whole new 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man of God, see</w:t>
        <w:br w:type="textWrapping"/>
        <w:t xml:space="preserve">Rom.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4, 11; viii. 2, 10).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7—11.]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this ministration is 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nitely ae glorious than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was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that of</w:t>
        <w:br w:type="textWrapping"/>
        <w:t xml:space="preserve">Moses under the old Covenant.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argues</w:t>
        <w:br w:type="textWrapping"/>
        <w:t xml:space="preserve">from the less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greater: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</w:t>
        <w:br w:type="textWrapping"/>
        <w:t xml:space="preserve">transitory glory of the killing letter, to</w:t>
        <w:br w:type="textWrapping"/>
        <w:t xml:space="preserve">the abiding glory of the life-giving Spirit.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(passing to another consideration,</w:t>
        <w:br w:type="textWrapping"/>
        <w:t xml:space="preserve">—the comparison of the two ministrations)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the ministration of death, in letters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</w:t>
        <w:br w:type="textWrapping"/>
        <w:t xml:space="preserve">that death which the law, the code of literal</w:t>
        <w:br w:type="textWrapping"/>
        <w:t xml:space="preserve">and formal precept, brought in),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engraven on stones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seems strange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be described as</w:t>
        <w:br w:type="textWrapping"/>
        <w:t xml:space="preserve">engraven on stones;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+PFXwkOfP8BS9CrV2I6GI0UyWyA==">AMUW2mViCci9RbQ+ukBNE9lf8eZ6KSABLTvEubI6FFxYiP/cuOzZudXchw5Z650qLMXmXAXZ7/lNOtDBAOtg94wqcoDZ9NK/SZO03AG8Q2bcJNOpEpUFPiA=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