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Method of this renewal.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present light (burden) of our affliction</w:t>
        <w:br w:type="textWrapping"/>
        <w:t xml:space="preserve">worketh out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(‘effects,’ ‘is the means</w:t>
        <w:br w:type="textWrapping"/>
        <w:t xml:space="preserve">of bringing about’)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surpassing and</w:t>
        <w:br w:type="textWrapping"/>
        <w:t xml:space="preserve">still more surpassing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so as</w:t>
        <w:br w:type="textWrapping"/>
        <w:t xml:space="preserve">to exceed beyond all measure the tribulation)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eternal weight of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opposed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light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 condition under</w:t>
        <w:br w:type="textWrapping"/>
        <w:t xml:space="preserve">which this working out takes place.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we look not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(‘propose not as our</w:t>
        <w:br w:type="textWrapping"/>
        <w:t xml:space="preserve">aim,’ ‘spend not our care about’)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things which are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Phil. iii. 19. Chrysostom strikingly says,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things that are seen, whether they be</w:t>
        <w:br w:type="textWrapping"/>
        <w:t xml:space="preserve">torment, or ease: so as to be neither relaxed by the one, nor borne down by the</w:t>
        <w:br w:type="textWrapping"/>
        <w:t xml:space="preserve">other”),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at the things which are not</w:t>
        <w:br w:type="textWrapping"/>
        <w:t xml:space="preserve">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things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as Bengel</w:t>
        <w:br w:type="textWrapping"/>
        <w:t xml:space="preserve">well remarks, “many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</w:t>
        <w:br w:type="textWrapping"/>
        <w:t xml:space="preserve">seen, shall become visible when the pilgrimage of faith is over”): for the things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are seen are temporary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</w:t>
        <w:br w:type="textWrapping"/>
        <w:t xml:space="preserve">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‘temporal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‘belonging to time,’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‘fleeting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‘only for a time,’—i.e. till the</w:t>
        <w:br w:type="textWrapping"/>
        <w:t xml:space="preserve">day of Christ);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the things which are</w:t>
        <w:br w:type="textWrapping"/>
        <w:t xml:space="preserve">not seen are eternal.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Chrysostom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again:</w:t>
        <w:br w:type="textWrapping"/>
        <w:t xml:space="preserve">“Whether they be reigning in glory, or</w:t>
        <w:br w:type="textWrapping"/>
        <w:t xml:space="preserve">suffering in torment: that he may deter</w:t>
        <w:br w:type="textWrapping"/>
        <w:t xml:space="preserve">them by the one, and encourage them by</w:t>
        <w:br w:type="textWrapping"/>
        <w:t xml:space="preserve">the other.”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specification</w:t>
        <w:br w:type="textWrapping"/>
        <w:t xml:space="preserve">of the hope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spoken of, as consisting</w:t>
        <w:br w:type="textWrapping"/>
        <w:t xml:space="preserve">in anticipation of an eternity of glory after</w:t>
        <w:br w:type="textWrapping"/>
        <w:t xml:space="preserve">this life, in the resurrection-body: which</w:t>
        <w:br w:type="textWrapping"/>
        <w:t xml:space="preserve">leads him evermore to strive to be found</w:t>
        <w:br w:type="textWrapping"/>
        <w:t xml:space="preserve">well-pleasing to the Lord at His coming:</w:t>
        <w:br w:type="textWrapping"/>
        <w:t xml:space="preserve">seeing that all shall then receive the things</w:t>
        <w:br w:type="textWrapping"/>
        <w:t xml:space="preserve">done in the body.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(gives the</w:t>
        <w:br w:type="textWrapping"/>
        <w:t xml:space="preserve">reason of ch. iv. 17,—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principally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emphat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of that verse,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and</w:t>
        <w:br w:type="textWrapping"/>
        <w:t xml:space="preserve">more exceedingly,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”—showing how it is that</w:t>
        <w:br w:type="textWrapping"/>
        <w:t xml:space="preserve">so wonderful a process takes place)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know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in ch. iv. 14,—are convinced, as a sure</w:t>
        <w:br w:type="textWrapping"/>
        <w:t xml:space="preserve">matter of hope)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‘supposing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indefinite and doubtful: if this delivering to</w:t>
        <w:br w:type="textWrapping"/>
        <w:t xml:space="preserve">death continually should end in veritable</w:t>
        <w:br w:type="textWrapping"/>
        <w:t xml:space="preserve">death. The case is hypothetical, because</w:t>
        <w:br w:type="textWrapping"/>
        <w:t xml:space="preserve">many will be glorified without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dissolution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taking place: see 1 Cor. xv. 51,</w:t>
        <w:br w:type="textWrapping"/>
        <w:t xml:space="preserve">53)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earthly tabernacle-dwelling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similitude is not derived from the wandering of the Israelites in the wilderness, nor</w:t>
        <w:br w:type="textWrapping"/>
        <w:t xml:space="preserve">from the tabernacle, but is a common one</w:t>
        <w:br w:type="textWrapping"/>
        <w:t xml:space="preserve">with Greek writers. “The whole passage</w:t>
        <w:br w:type="textWrapping"/>
        <w:t xml:space="preserve">is expressed through the double figure of</w:t>
        <w:br w:type="textWrapping"/>
        <w:t xml:space="preserve">a house or tent, and a garment. The</w:t>
        <w:br w:type="textWrapping"/>
        <w:t xml:space="preserve">explanation of this abrupt transition from</w:t>
        <w:br w:type="textWrapping"/>
        <w:t xml:space="preserve">one to the other may be found in the</w:t>
        <w:br w:type="textWrapping"/>
        <w:t xml:space="preserve">image which, both from his occupation</w:t>
        <w:br w:type="textWrapping"/>
        <w:t xml:space="preserve">and his birthplace, would naturally occur</w:t>
        <w:br w:type="textWrapping"/>
        <w:t xml:space="preserve">to the Apostle,—the tent of Cilician</w:t>
        <w:br w:type="textWrapping"/>
        <w:t xml:space="preserve">hair-cloth, which might almost equally</w:t>
        <w:br w:type="textWrapping"/>
        <w:t xml:space="preserve">suggest the idea of a habitation and of</w:t>
        <w:br w:type="textWrapping"/>
        <w:t xml:space="preserve">a vesture,” Stanley. Chrysostom observes:</w:t>
        <w:br w:type="textWrapping"/>
        <w:t xml:space="preserve">“Having said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tabernacle-dwelling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having thus implied easy taking down and</w:t>
        <w:br w:type="textWrapping"/>
        <w:t xml:space="preserve">transitoriness, he opposes to this the house</w:t>
        <w:br w:type="textWrapping"/>
        <w:t xml:space="preserve">which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 dissolved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(‘a</w:t>
        <w:br w:type="textWrapping"/>
        <w:t xml:space="preserve">gentle word,” Bengel: i.e.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taken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“done away with’),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Meyer</w:t>
        <w:br w:type="textWrapping"/>
        <w:t xml:space="preserve">rightly remarks,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 tense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used</w:t>
        <w:br w:type="textWrapping"/>
        <w:t xml:space="preserve">of the time at which the dissolution shall</w:t>
        <w:br w:type="textWrapping"/>
        <w:t xml:space="preserve">have taken place. But even then the dead</w:t>
        <w:br w:type="textWrapping"/>
        <w:t xml:space="preserve">have it not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actual possession,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only</w:t>
        <w:br w:type="textWrapping"/>
        <w:t xml:space="preserve">prepared by God for them against the</w:t>
        <w:br w:type="textWrapping"/>
        <w:t xml:space="preserve">appearing of the Lord: and therefore they</w:t>
        <w:br w:type="textWrapping"/>
        <w:t xml:space="preserve">are said to have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heavens.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A.V., according to the present punctuation, yields no sense: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‘not made with</w:t>
        <w:br w:type="textWrapping"/>
        <w:t xml:space="preserve">hands, eternal in the heavens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building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 longer a tabernacle)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(‘in</w:t>
        <w:br w:type="textWrapping"/>
        <w:t xml:space="preserve">an especial manner prepared by God,’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pure</w:t>
        <w:br w:type="textWrapping"/>
        <w:t xml:space="preserve">from God's hands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contrasted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with our earthly body, which, see 1 Cor.</w:t>
        <w:br w:type="textWrapping"/>
        <w:t xml:space="preserve">xii. 18, 24, is also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dwelling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VoT6JOhfFfJ+T90E/RPQF4PxNg==">AMUW2mV/MOxl8YJIiWlypsPH6jPRiJsdr1PJ0SpJMlJ0q7V3S0DUximU2eLlMa7Bwl/BhDdv/ctTV1fge+LPgaLvYQO3SKkxdyMvPdF+xFK1kdCPiYaj0iM=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