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testified towards us by His death,</w:t>
        <w:br w:type="textWrapping"/>
        <w:t xml:space="preserve">being as it were bound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and attached by the tightest bond, should devote</w:t>
        <w:br w:type="textWrapping"/>
        <w:t xml:space="preserve">himself to His service.” Calvin),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</w:t>
        <w:br w:type="textWrapping"/>
        <w:t xml:space="preserve">judged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we formed</w:t>
        <w:br w:type="textWrapping"/>
        <w:t xml:space="preserve">this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at our conversion:—</w:t>
        <w:br w:type="textWrapping"/>
        <w:t xml:space="preserve">learned to regard this as a settled truth),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One died for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only, for the</w:t>
        <w:br w:type="textWrapping"/>
        <w:t xml:space="preserve">benefit of all, —but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all, suffered</w:t>
        <w:br w:type="textWrapping"/>
        <w:t xml:space="preserve">death in the root and essence of our humanity, as the second Adam. This death</w:t>
        <w:br w:type="textWrapping"/>
        <w:t xml:space="preserve">on behalf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absolute objective fact: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enter not into the</w:t>
        <w:br w:type="textWrapping"/>
        <w:t xml:space="preserve">benefit of that Death, is owing to the nonfulfilment of the subjective condition which</w:t>
        <w:br w:type="textWrapping"/>
        <w:t xml:space="preserve">follows),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 all 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therefore, in the death of Christ,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for</w:t>
        <w:br w:type="textWrapping"/>
        <w:t xml:space="preserve">whom He died,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died too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see below,</w:t>
        <w:br w:type="textWrapping"/>
        <w:t xml:space="preserve">became planted in the likeness of His</w:t>
        <w:br w:type="textWrapping"/>
        <w:t xml:space="preserve">death,—died to sin and to self, that they</w:t>
        <w:br w:type="textWrapping"/>
        <w:t xml:space="preserve">might live to Him. This was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subjectively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 such death</w:t>
        <w:br w:type="textWrapping"/>
        <w:t xml:space="preserve">to sin and self is realized in each: see Rom.</w:t>
        <w:br w:type="textWrapping"/>
        <w:t xml:space="preserve">vi. 8 ff. The rendering of the A. V.,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were all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inadmissible both</w:t>
        <w:br w:type="textWrapping"/>
        <w:t xml:space="preserve">from the construction of the original, and</w:t>
        <w:br w:type="textWrapping"/>
        <w:t xml:space="preserve">the context: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on behalf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died,</w:t>
        <w:br w:type="textWrapping"/>
        <w:t xml:space="preserve">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died: if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died the death of</w:t>
        <w:br w:type="textWrapping"/>
        <w:t xml:space="preserve">[belonging to, due from] all, then all died</w:t>
        <w:br w:type="textWrapping"/>
        <w:t xml:space="preserve">[in and with Him]’):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died</w:t>
        <w:br w:type="textWrapping"/>
        <w:t xml:space="preserve">for all, that they which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ch. iv. 11:—not, ‘those who live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would altogether strike out</w:t>
        <w:br w:type="textWrapping"/>
        <w:t xml:space="preserve">the sense, for it is,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they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live spiritually,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no longer (now that</w:t>
        <w:br w:type="textWrapping"/>
        <w:t xml:space="preserve">His death has taken place) live unto 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their great source and</w:t>
        <w:br w:type="textWrapping"/>
        <w:t xml:space="preserve">end of action, to please and to obey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  <w:br w:type="textWrapping"/>
        <w:t xml:space="preserve">unto Him that died, and rose again for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strictly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place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the Death of Christ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His</w:t>
        <w:br w:type="textWrapping"/>
        <w:t xml:space="preserve">Resurrection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So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,—consistently</w:t>
        <w:br w:type="textWrapping"/>
        <w:t xml:space="preserve">with our judgment expressed ver. 15)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opposition to our adversaries, the false</w:t>
        <w:br w:type="textWrapping"/>
        <w:t xml:space="preserve">teachers;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as yet spoken of the Apostle himself</w:t>
        <w:br w:type="textWrapping"/>
        <w:t xml:space="preserve">[and his colleagues?]) henceforth (since</w:t>
        <w:br w:type="textWrapping"/>
        <w:t xml:space="preserve">this great event, the Death of Christ)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</w:t>
        <w:br w:type="textWrapping"/>
        <w:t xml:space="preserve">no man according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he is 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flesh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(Meyer well remarks: “ Since all are [ethically] dead, and each man is bound to live</w:t>
        <w:br w:type="textWrapping"/>
        <w:t xml:space="preserve">only to Christ, not to himself, our knowledge of others must be altogether independent of that which they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</w:t>
        <w:br w:type="textWrapping"/>
        <w:t xml:space="preserve">to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,—must not be regulated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 to the flesh.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 connexion</w:t>
        <w:br w:type="textWrapping"/>
        <w:t xml:space="preserve">of ver. 16 with ver. 15 shews that we must</w:t>
        <w:br w:type="textWrapping"/>
        <w:t xml:space="preserve">not take these words as furnishing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rule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,—so that</w:t>
        <w:br w:type="textWrapping"/>
        <w:t xml:space="preserve">the explanation would be, ‘according to</w:t>
        <w:br w:type="textWrapping"/>
        <w:t xml:space="preserve">mere human knowledge,’ ‘apart from the</w:t>
        <w:br w:type="textWrapping"/>
        <w:t xml:space="preserve">enlightening of the Holy Spirit,’ see ch. i.</w:t>
        <w:br w:type="textWrapping"/>
        <w:t xml:space="preserve">17; 1 Cor. i. 26,—but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objective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rule,</w:t>
        <w:br w:type="textWrapping"/>
        <w:t xml:space="preserve">ef. ch. xi. 18; John viii. 15; Phil. ili, 4,—</w:t>
        <w:br w:type="textWrapping"/>
        <w:t xml:space="preserve">so that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know any one according to</w:t>
        <w:br w:type="textWrapping"/>
        <w:t xml:space="preserve">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means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know any one according to his mere human individuality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—‘to</w:t>
        <w:br w:type="textWrapping"/>
        <w:t xml:space="preserve">know him as men have judged him by</w:t>
        <w:br w:type="textWrapping"/>
        <w:t xml:space="preserve">what he is in the flesh, not by what he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 to the spirit,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 Christian,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new creature,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ver. 17. He who knows</w:t>
        <w:br w:type="textWrapping"/>
        <w:t xml:space="preserve">no man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 to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has, e. g. in</w:t>
        <w:br w:type="textWrapping"/>
        <w:t xml:space="preserve">the case of the Jew, entirely lost sight of</w:t>
        <w:br w:type="textWrapping"/>
        <w:t xml:space="preserve">his Jewish origin,—in that of the rich</w:t>
        <w:br w:type="textWrapping"/>
        <w:t xml:space="preserve">man, of his riches,—in that of the learned,</w:t>
        <w:br w:type="textWrapping"/>
        <w:t xml:space="preserve">of his learning,—in that of the slave, of his</w:t>
        <w:br w:type="textWrapping"/>
        <w:t xml:space="preserve">servitude, &amp;c., see Gal. iii. 28”)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if even</w:t>
        <w:br w:type="textWrapping"/>
        <w:t xml:space="preserve">we have known Christ according to the</w:t>
        <w:br w:type="textWrapping"/>
        <w:t xml:space="preserve">flesh, now however we know Him (thus)</w:t>
        <w:br w:type="textWrapping"/>
        <w:t xml:space="preserve">no longer.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fact alluded to in the concessive clause, is, not any personal knowledge of the Lord Jesus while He was on</w:t>
        <w:br w:type="textWrapping"/>
        <w:t xml:space="preserve">earth, but that view of Him which St. Paul</w:t>
        <w:br w:type="textWrapping"/>
        <w:t xml:space="preserve">took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 his conversion,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when he knew</w:t>
        <w:br w:type="textWrapping"/>
        <w:t xml:space="preserve">Him only according to His outward apparent standing in this world,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as</w:t>
        <w:br w:type="textWrapping"/>
        <w:t xml:space="preserve">Jesus of Nazareth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.—Observe, the stress is</w:t>
        <w:br w:type="textWrapping"/>
        <w:t xml:space="preserve">not on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‘If we have known</w:t>
        <w:br w:type="textWrapping"/>
        <w:t xml:space="preserve">even Christ after the flesh,’ &amp;c., as usually</w:t>
        <w:br w:type="textWrapping"/>
        <w:t xml:space="preserve">understood; but on have known, as belonging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contrasted with our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9Rdu0PvvjdqAxnDqtj3GkZW9FA==">AMUW2mV3n0t5AYNO5VpytA6XJAANL4fjWl4eEI7I0xpQNPSuKo7xW7shJjtPLS/UDok65rGEsae98i4VPIovDZVjNFlvIy/sCszHiziG8fth6odnnd7Qa+s=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