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regular process, and establish the truth in</w:t>
        <w:br w:type="textWrapping"/>
        <w:t xml:space="preserve">a legal manner.’—This explanation, however, has not been the usual one: Chrysostom, Calvin, and others, understanding</w:t>
        <w:br w:type="textWrapping"/>
        <w:t xml:space="preserve">the two or three witnesses, of St. Paul’s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or three visits,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establishing cither</w:t>
        <w:br w:type="textWrapping"/>
        <w:t xml:space="preserve">(1) the truth of the facts, or (2) the reality</w:t>
        <w:br w:type="textWrapping"/>
        <w:t xml:space="preserve">of his threats. But it is decisive against</w:t>
        <w:br w:type="textWrapping"/>
        <w:t xml:space="preserve">this interpretation, as Meyer remarks, that</w:t>
        <w:br w:type="textWrapping"/>
        <w:t xml:space="preserve">thus the sins committed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the Apostle’s</w:t>
        <w:br w:type="textWrapping"/>
        <w:t xml:space="preserve">last visit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remain altogether unnoticed.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three,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  <w:br w:type="textWrapping"/>
        <w:t xml:space="preserve">three,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in cases where only two</w:t>
        <w:br w:type="textWrapping"/>
        <w:t xml:space="preserve">can be had)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(where so many can</w:t>
        <w:br w:type="textWrapping"/>
        <w:t xml:space="preserve">be obtained):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‘two and three respectively.’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have forewarned you, and I</w:t>
        <w:br w:type="textWrapping"/>
        <w:t xml:space="preserve">now forewarn you,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when present the second time, so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do)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now</w:t>
        <w:br w:type="textWrapping"/>
        <w:t xml:space="preserve">when absent.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seems to me (see my</w:t>
        <w:br w:type="textWrapping"/>
        <w:t xml:space="preserve">Greek Test.) that this is the only natural</w:t>
        <w:br w:type="textWrapping"/>
        <w:t xml:space="preserve">way of taking the words.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  <w:br w:type="textWrapping"/>
        <w:t xml:space="preserve">which have sinned heretofore]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</w:t>
        <w:br w:type="textWrapping"/>
        <w:t xml:space="preserve">persons as are thus designated above,</w:t>
        <w:br w:type="textWrapping"/>
        <w:t xml:space="preserve">ch. xii. 21.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rest of you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may not have actually sinned, but still</w:t>
        <w:br w:type="textWrapping"/>
        <w:t xml:space="preserve">require warning, on account of your own</w:t>
        <w:br w:type="textWrapping"/>
        <w:t xml:space="preserve">personal danger, connexion with those who</w:t>
        <w:br w:type="textWrapping"/>
        <w:t xml:space="preserve">have,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 come again]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my</w:t>
        <w:br w:type="textWrapping"/>
        <w:t xml:space="preserve">next coming. This was what he</w:t>
        <w:br w:type="textWrapping"/>
        <w:t xml:space="preserve">he was last there, and now repe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‘This gives the reason why he will not spare: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equired the exertion of discipline;</w:t>
        <w:br w:type="textWrapping"/>
        <w:t xml:space="preserve">and they challenged him to the proof of his</w:t>
        <w:br w:type="textWrapping"/>
        <w:t xml:space="preserve">apostolic authority.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proof of Christ]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 genitive is either objective, a proof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speaking in 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‘that Christ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speaks in 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’—or subjective,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given by Christ speaking in me—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‘a token</w:t>
        <w:br w:type="textWrapping"/>
        <w:t xml:space="preserve">of my authority vouchsafed by Christ speaking in me.’ This latter meaning is more</w:t>
        <w:br w:type="textWrapping"/>
        <w:t xml:space="preserve">suited to what follows, where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becomes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Such proof would be, the immediate execution, by divine power, of some</w:t>
        <w:br w:type="textWrapping"/>
        <w:t xml:space="preserve">punishment denounced by Paul’s word, as</w:t>
        <w:br w:type="textWrapping"/>
        <w:t xml:space="preserve">in Acts xiii. 11. The assertion tends to</w:t>
        <w:br w:type="textWrapping"/>
        <w:t xml:space="preserve">remind them of the danger of provoking</w:t>
        <w:br w:type="textWrapping"/>
        <w:t xml:space="preserve">Christ, who spoke by Paul.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Confirmation of the foregoing assertion.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indeed he was crucified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the source,—</w:t>
        <w:br w:type="textWrapping"/>
        <w:t xml:space="preserve">the conditional element,—by which His crucifixion became possible)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weakness, yet</w:t>
        <w:br w:type="textWrapping"/>
        <w:t xml:space="preserve">He liveth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(source,—source of His life)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Power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 raised Him from</w:t>
        <w:br w:type="textWrapping"/>
        <w:t xml:space="preserve">the dead, Rom. vi. 4; viii.11; Eph. i. 20;</w:t>
        <w:br w:type="textWrapping"/>
        <w:t xml:space="preserve">Phil. ii. 9).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For we also are weak in Him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Him,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our communion with and</w:t>
        <w:br w:type="textWrapping"/>
        <w:t xml:space="preserve">imitation of Christ, we, as He did, lay aside</w:t>
        <w:br w:type="textWrapping"/>
        <w:t xml:space="preserve">our power and spare you: we partake of</w:t>
        <w:br w:type="textWrapping"/>
        <w:t xml:space="preserve">His voluntary abnegation of power which</w:t>
        <w:br w:type="textWrapping"/>
        <w:t xml:space="preserve">we might have used. The context requires</w:t>
        <w:br w:type="textWrapping"/>
        <w:t xml:space="preserve">this explanation, and refutes that of Chrysostom and others, that for His sake we</w:t>
        <w:br w:type="textWrapping"/>
        <w:t xml:space="preserve">suffer persecution and dishonour),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shall</w:t>
        <w:br w:type="textWrapping"/>
        <w:t xml:space="preserve">live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(exercise our apostolic authority, in</w:t>
        <w:br w:type="textWrapping"/>
        <w:t xml:space="preserve">contrast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weakness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Him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He now exercises His power in His</w:t>
        <w:br w:type="textWrapping"/>
        <w:t xml:space="preserve">glorified resurrection life)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(source)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</w:t>
        <w:br w:type="textWrapping"/>
        <w:t xml:space="preserve">power of God [toward you]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toward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if genuine, may belong either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power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or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shall live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shall live with respect to you,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which</w:t>
        <w:br w:type="textWrapping"/>
        <w:t xml:space="preserve">agrees better with the parallelism, but not</w:t>
        <w:br w:type="textWrapping"/>
        <w:t xml:space="preserve">so well with the arrangement of the sentence. The sense seems to require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latter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h4RnVAuRwICzIM9cxDqyKTVGBA==">AMUW2mWo15lHWBU/QM5k4ANllfkr7OeO0JZoneQq+Z6tSdzKr+MeVJOJ9tWHVLIe++hOGj4xPIt4ndHv/rH58Gskz/MjMqXAuobajo1z/CsWbpca6rVJH1c=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