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reckon? Certainly at first sight it</w:t>
        <w:br w:type="textWrapping"/>
        <w:t xml:space="preserve">would appear,—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journey last</w:t>
        <w:br w:type="textWrapping"/>
        <w:t xml:space="preserve">mentioned.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Meyer maintains that</w:t>
        <w:br w:type="textWrapping"/>
        <w:t xml:space="preserve">we are bound to accept this first impression without enquiring any further.</w:t>
        <w:br w:type="textWrapping"/>
        <w:t xml:space="preserve">But why? Is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prima facie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view of a</w:t>
        <w:br w:type="textWrapping"/>
        <w:t xml:space="preserve">construction always right? Did we, or</w:t>
        <w:br w:type="textWrapping"/>
        <w:t xml:space="preserve">did he, judge thus in ch. i. 18? Are we</w:t>
        <w:br w:type="textWrapping"/>
        <w:t xml:space="preserve">not bound, in all such cases, should any</w:t>
        <w:br w:type="textWrapping"/>
        <w:t xml:space="preserve">external reason exist for doing so, to reexamine the passage, and ascertain whether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prima facie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impression may not</w:t>
        <w:br w:type="textWrapping"/>
        <w:t xml:space="preserve">have arisen from neglecting some indication furnished by the context? That this</w:t>
        <w:br w:type="textWrapping"/>
        <w:t xml:space="preserve">is the case here, I am persuaded. The</w:t>
        <w:br w:type="textWrapping"/>
        <w:t xml:space="preserve">ways of speaking, in ch. i. 18, and here,</w:t>
        <w:br w:type="textWrapping"/>
        <w:t xml:space="preserve">are very similar.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both cases</w:t>
        <w:br w:type="textWrapping"/>
        <w:t xml:space="preserve">may be well taken as referring back to</w:t>
        <w:br w:type="textWrapping"/>
        <w:t xml:space="preserve">the same starting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point. What would</w:t>
        <w:br w:type="textWrapping"/>
        <w:t xml:space="preserve">there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forced or unnatural in a statement of the following kind? “After my</w:t>
        <w:br w:type="textWrapping"/>
        <w:t xml:space="preserve">conversion (ch. i. 15) my occasions of</w:t>
        <w:br w:type="textWrapping"/>
        <w:t xml:space="preserve">communicating with the other Apostles</w:t>
        <w:br w:type="textWrapping"/>
        <w:t xml:space="preserve">were these: (1) after three years I went</w:t>
        <w:br w:type="textWrapping"/>
        <w:t xml:space="preserve">up,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(2) after fourteen years had</w:t>
        <w:br w:type="textWrapping"/>
        <w:t xml:space="preserve">elapsed, I again went up, &amp;c.”?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compare Chronol. Table in Introduction)</w:t>
        <w:br w:type="textWrapping"/>
        <w:t xml:space="preserve">would bring the visit here related to the</w:t>
        <w:br w:type="textWrapping"/>
        <w:t xml:space="preserve">year 50: see below.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 went</w:t>
        <w:br w:type="textWrapping"/>
        <w:t xml:space="preserve">up I: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nothing is said, and there was</w:t>
        <w:br w:type="textWrapping"/>
        <w:t xml:space="preserve">no need to say any thing, of another</w:t>
        <w:br w:type="textWrapping"/>
        <w:t xml:space="preserve">visit during the interval. It was the</w:t>
        <w:br w:type="textWrapping"/>
        <w:t xml:space="preserve">object of the Apostle to specify,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not all his</w:t>
        <w:br w:type="textWrapping"/>
        <w:t xml:space="preserve">visits to Jerusalem, but all his occasions</w:t>
        <w:br w:type="textWrapping"/>
        <w:t xml:space="preserve">of intercourse with the other Apostles: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it is mere trifling, when Meyer, in his</w:t>
        <w:br w:type="textWrapping"/>
        <w:t xml:space="preserve">love of making discrepancies, maintains</w:t>
        <w:br w:type="textWrapping"/>
        <w:t xml:space="preserve">that in such a narration as this, St. Paul</w:t>
        <w:br w:type="textWrapping"/>
        <w:t xml:space="preserve">would be putting a weapon into the hands</w:t>
        <w:br w:type="textWrapping"/>
        <w:t xml:space="preserve">of his opponents by omitting his second</w:t>
        <w:br w:type="textWrapping"/>
        <w:t xml:space="preserve">journey. That journey was undertaken</w:t>
        <w:br w:type="textWrapping"/>
        <w:t xml:space="preserve">(Acts xi. 30) in pursuance of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the church at Antioch, to convey</w:t>
        <w:br w:type="textWrapping"/>
        <w:t xml:space="preserve">alms to the elders of the suffering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at Jerusalem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at a period of persecution, when James the son of Zebedee</w:t>
        <w:br w:type="textWrapping"/>
        <w:t xml:space="preserve">and Peter were under the power of Herod,</w:t>
        <w:br w:type="textWrapping"/>
        <w:t xml:space="preserve">—and in all probability the other Apostles were scattered. Probably Barnabas</w:t>
        <w:br w:type="textWrapping"/>
        <w:t xml:space="preserve">and Saul did not see any of them. They</w:t>
        <w:br w:type="textWrapping"/>
        <w:t xml:space="preserve">merely (Acts xii. 25) fulfilled their errand,</w:t>
        <w:br w:type="textWrapping"/>
        <w:t xml:space="preserve">and brought back John Mark. If in that</w:t>
        <w:br w:type="textWrapping"/>
        <w:t xml:space="preserve">visit he had no intercourse with the Apostles, as his business was not with them,</w:t>
        <w:br w:type="textWrapping"/>
        <w:t xml:space="preserve">the mention of it here would be irrelevant:</w:t>
        <w:br w:type="textWrapping"/>
        <w:t xml:space="preserve">and to attempt, as Meyer, to prove the</w:t>
        <w:br w:type="textWrapping"/>
        <w:t xml:space="preserve">Acts inaccurate, because that journey is not</w:t>
        <w:br w:type="textWrapping"/>
        <w:t xml:space="preserve">mentioned here, is simply absurd.—That</w:t>
        <w:br w:type="textWrapping"/>
        <w:t xml:space="preserve">the visit here described is in all probability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related in the Acts (4.D. 50) on</w:t>
        <w:br w:type="textWrapping"/>
        <w:t xml:space="preserve">occasion of the council of Apostles and</w:t>
        <w:br w:type="textWrapping"/>
        <w:t xml:space="preserve">elders (Acts xv.), I have shewn in a note</w:t>
        <w:br w:type="textWrapping"/>
        <w:t xml:space="preserve">to the chronological table in the Introduction. The various separate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visit will be noticed as we proceed.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taking Titus also]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Acts xv. 2,</w:t>
        <w:br w:type="textWrapping"/>
        <w:t xml:space="preserve">we read, “They determined that Paul and</w:t>
        <w:br w:type="textWrapping"/>
        <w:t xml:space="preserve">Barnabas,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certain other of them,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should go up to Jerusalem.” Titus is here</w:t>
        <w:br w:type="textWrapping"/>
        <w:t xml:space="preserve">particularized by name, on account of the</w:t>
        <w:br w:type="textWrapping"/>
        <w:t xml:space="preserve">notice which follows, ver. 3: and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serves to take him out from among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others. On Titus, see Introduction to Epistle</w:t>
        <w:br w:type="textWrapping"/>
        <w:t xml:space="preserve">to Titus.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only carries on</w:t>
        <w:br w:type="textWrapping"/>
        <w:t xml:space="preserve">the narrative, emphatically repeating the</w:t>
        <w:br w:type="textWrapping"/>
        <w:t xml:space="preserve">verb, but carries on the refutation also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 went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for any purpose of</w:t>
        <w:br w:type="textWrapping"/>
        <w:t xml:space="preserve">learning from or consulting others, but)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undertaking the journey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consequence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revelation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nothing</w:t>
        <w:br w:type="textWrapping"/>
        <w:t xml:space="preserve">is said in the Acts: all that is related</w:t>
        <w:br w:type="textWrapping"/>
        <w:t xml:space="preserve">there being, the appointment by the</w:t>
        <w:br w:type="textWrapping"/>
        <w:t xml:space="preserve">church of St. Paul and Barnabas and</w:t>
        <w:br w:type="textWrapping"/>
        <w:t xml:space="preserve">others to go. What divine intimation St.</w:t>
        <w:br w:type="textWrapping"/>
        <w:t xml:space="preserve">Paul may have received, inducing him to</w:t>
        <w:br w:type="textWrapping"/>
        <w:t xml:space="preserve">offer himself for the deputation, we cannot say: that some such occurred, he</w:t>
        <w:br w:type="textWrapping"/>
        <w:t xml:space="preserve">here assures us, and it was important for</w:t>
        <w:br w:type="textWrapping"/>
        <w:t xml:space="preserve">him to assert it, as shewing his dependence only on divine leading, and independence of any behests from the Jerusalem church. Meyer well remarks, that</w:t>
        <w:br w:type="textWrapping"/>
        <w:t xml:space="preserve">the history itself of the Acts furnishes an</w:t>
        <w:br w:type="textWrapping"/>
        <w:t xml:space="preserve">instance of such a double prompting:</w:t>
        <w:br w:type="textWrapping"/>
        <w:t xml:space="preserve">Peter was induced by a vision, and at the</w:t>
        <w:br w:type="textWrapping"/>
        <w:t xml:space="preserve">same time by the messengers of Cornelius,</w:t>
        <w:br w:type="textWrapping"/>
        <w:t xml:space="preserve">to go to Cesarea.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them]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Christians at Jerusalem, implied in the</w:t>
        <w:br w:type="textWrapping"/>
        <w:t xml:space="preserve">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above. This wide assertion is limited by the next clause.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(limits the foregoing: as if to say,</w:t>
        <w:br w:type="textWrapping"/>
        <w:t xml:space="preserve">“when I say ‘to them,’ I mean”)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61ABElSsoNKXQE3cWAuokTChnQ==">CgMxLjA4AHIhMU9heWtsYmx6WnJUUG1FVFRqWElLSUVweU9UUjdfLXJC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