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that liveth in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punctuation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A.V. is altogether</w:t>
        <w:br w:type="textWrapping"/>
        <w:t xml:space="preserve">wrong, the meaning is ‘but the life is not</w:t>
        <w:br w:type="textWrapping"/>
        <w:t xml:space="preserve">mine,—but the life is Christ’s within me.’</w:t>
        <w:br w:type="textWrapping"/>
        <w:t xml:space="preserve">—Christ is the vine, we the branches: He</w:t>
        <w:br w:type="textWrapping"/>
        <w:t xml:space="preserve">lives, He, the same Christ, through and in</w:t>
        <w:br w:type="textWrapping"/>
        <w:t xml:space="preserve">every one of His believing people)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</w:t>
        <w:br w:type="textWrapping"/>
        <w:t xml:space="preserve">again literally: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 again, parallel</w:t>
        <w:br w:type="textWrapping"/>
        <w:t xml:space="preserve">with the two clauses beginning with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‘the life which’)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(since my conversion, as contrasted</w:t>
        <w:br w:type="textWrapping"/>
        <w:t xml:space="preserve">with the time before: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life</w:t>
        <w:br w:type="textWrapping"/>
        <w:t xml:space="preserve">contrasted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live 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the fleshly body;—which, though it</w:t>
        <w:br w:type="textWrapping"/>
        <w:t xml:space="preserve">appear to be a mere animal life, is not.</w:t>
        <w:br w:type="textWrapping"/>
        <w:t xml:space="preserve">So Luther;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live indeed in the flesh, but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 not count this insignificant particle of</w:t>
        <w:br w:type="textWrapping"/>
        <w:t xml:space="preserve">life which is going on in me, to be really</w:t>
        <w:br w:type="textWrapping"/>
        <w:t xml:space="preserve">life. For it is not, but only the mask of</w:t>
        <w:br w:type="textWrapping"/>
        <w:t xml:space="preserve">life, under which another lives, viz. Christ,</w:t>
        <w:br w:type="textWrapping"/>
        <w:t xml:space="preserve">who is really my life”) I live in (not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as A.V.: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the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corresponds to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</w:t>
        <w:br w:type="textWrapping"/>
        <w:t xml:space="preserve">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the</w:t>
        <w:br w:type="textWrapping"/>
        <w:t xml:space="preserve">real element in which I live)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faith, viz.</w:t>
        <w:br w:type="textWrapping"/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(particularizing what sort of faith)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(having for its object, see on ver.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Son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named for solemnity, and</w:t>
        <w:br w:type="textWrapping"/>
        <w:t xml:space="preserve">because His eternal Sonship is the source of</w:t>
        <w:br w:type="textWrapping"/>
        <w:t xml:space="preserve">His life-giving power, compare John v. 25,</w:t>
        <w:br w:type="textWrapping"/>
        <w:t xml:space="preserve">26)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who loved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link which binds the</w:t>
        <w:br w:type="textWrapping"/>
        <w:t xml:space="preserve">eternal Son of God to me)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(proved that</w:t>
        <w:br w:type="textWrapping"/>
        <w:t xml:space="preserve">love, in that 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 Himself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</w:t>
        <w:br w:type="textWrapping"/>
        <w:t xml:space="preserve">death)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my behalf).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thou [Peter] art doing, and the</w:t>
        <w:br w:type="textWrapping"/>
        <w:t xml:space="preserve">Judaizers)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frustrate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make void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grace of God: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(justification of the</w:t>
        <w:br w:type="textWrapping"/>
        <w:t xml:space="preserve">strong expression,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frustrate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by the law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(comes)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result of justification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then Christ</w:t>
        <w:br w:type="textWrapping"/>
        <w:t xml:space="preserve">died without cause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as A. V.,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vain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  <w:br w:type="textWrapping"/>
        <w:t xml:space="preserve">with reference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His death,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gratuitously, causelessly;—‘Christ need</w:t>
        <w:br w:type="textWrapping"/>
        <w:t xml:space="preserve">not have died.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“For,” says Chrysostom, “if,</w:t>
        <w:br w:type="textWrapping"/>
        <w:t xml:space="preserve">Christ died, it is clear that it was because the</w:t>
        <w:br w:type="textWrapping"/>
        <w:t xml:space="preserve">law could not justify us: but if the law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justify us, Christ’s death was superfluous”).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H. III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1—V. 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SECOND, OR POLEM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ICAL PART OF THE EPISTLE. 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 exclaims indignantly, moved</w:t>
        <w:br w:type="textWrapping"/>
        <w:t xml:space="preserve">by the fervour and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of his rebuke of</w:t>
        <w:br w:type="textWrapping"/>
        <w:t xml:space="preserve">Peter, against the folly of the Galatians, for</w:t>
        <w:br w:type="textWrapping"/>
        <w:t xml:space="preserve">suffering themselves to be bewitched out of</w:t>
        <w:br w:type="textWrapping"/>
        <w:t xml:space="preserve">their former vivid apprehension of Christ’s</w:t>
        <w:br w:type="textWrapping"/>
        <w:t xml:space="preserve">work and Person.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foolish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not,</w:t>
        <w:br w:type="textWrapping"/>
        <w:t xml:space="preserve">with Jerome, be taken as an allusion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supposed national stupidity of the</w:t>
        <w:br w:type="textWrapping"/>
        <w:t xml:space="preserve">Galatians (for they appear to have been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apt to learn, and of ready wit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it</w:t>
        <w:br w:type="textWrapping"/>
        <w:t xml:space="preserve">merely springs out of the occasion.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the emphasis—‘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was evidently set forth]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must</w:t>
        <w:br w:type="textWrapping"/>
        <w:t xml:space="preserve">understand this to refer to the time when</w:t>
        <w:br w:type="textWrapping"/>
        <w:t xml:space="preserve">he preached Christ among them, which he</w:t>
        <w:br w:type="textWrapping"/>
        <w:t xml:space="preserve">represents as a previous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writing of Christ, in their hearts and before</w:t>
        <w:br w:type="textWrapping"/>
        <w:t xml:space="preserve">their eyes.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crucified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expressing</w:t>
        <w:br w:type="textWrapping"/>
        <w:t xml:space="preserve">the whole mystery of redemption by grace,</w:t>
        <w:br w:type="textWrapping"/>
        <w:t xml:space="preserve">and of freedom from legal obligation.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  <w:br w:type="textWrapping"/>
        <w:t xml:space="preserve">has an echo of the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crucified with</w:t>
        <w:br w:type="textWrapping"/>
        <w:t xml:space="preserve">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ch. ii. 20.” Jowett.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This</w:t>
        <w:br w:type="textWrapping"/>
        <w:t xml:space="preserve">only,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to mention all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grounds</w:t>
        <w:br w:type="textWrapping"/>
        <w:t xml:space="preserve">on which I might rest my argument. “I</w:t>
        <w:br w:type="textWrapping"/>
        <w:t xml:space="preserve">wish to deal with you the shortest and</w:t>
        <w:br w:type="textWrapping"/>
        <w:t xml:space="preserve">simplest way.”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ye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its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ThLrPAFxR0djnbQW8tDffkonw==">CgMxLjA4AHIhMUU2VVlFRWk3QXJBNkRvd1lFVk9SZElsbEQ5ZE14ejJW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