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existing.” Meyer)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until the seed shall have</w:t>
        <w:br w:type="textWrapping"/>
        <w:t xml:space="preserve">come to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promise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was)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seed is of course Christ);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enjoined by means 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(angels</w:t>
        <w:br w:type="textWrapping"/>
        <w:t xml:space="preserve">were, according to the Rabbinical view, the</w:t>
        <w:br w:type="textWrapping"/>
        <w:t xml:space="preserve">enactors and enjoiners of the law: so Josephus speaks; “We,” he says, “have</w:t>
        <w:br w:type="textWrapping"/>
        <w:t xml:space="preserve">been taught the best desires and the</w:t>
        <w:br w:type="textWrapping"/>
        <w:t xml:space="preserve">holiest laws by means of angels from God.”</w:t>
        <w:br w:type="textWrapping"/>
        <w:t xml:space="preserve">See also Heb. ii. 2; and note on Col. ii. 15.</w:t>
        <w:br w:type="textWrapping"/>
        <w:t xml:space="preserve">Of course no explaining away of the term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men [Moses, Aaron, &amp;c.] can be</w:t>
        <w:br w:type="textWrapping"/>
        <w:t xml:space="preserve">allowed. Observe, the angels are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Law, but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instrumental enactors: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Law, with St.</w:t>
        <w:br w:type="textWrapping"/>
        <w:t xml:space="preserve">Paul, is always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law; see especially</w:t>
        <w:br w:type="textWrapping"/>
        <w:t xml:space="preserve">Rom. vii. 22),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hand of a 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came from God to the</w:t>
        <w:br w:type="textWrapping"/>
        <w:t xml:space="preserve">people with the tables of the law in his</w:t>
        <w:br w:type="textWrapping"/>
        <w:t xml:space="preserve">hands. Compare his own words,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5,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stood between the Lord and you at</w:t>
        <w:br w:type="textWrapping"/>
        <w:t xml:space="preserve">that time, to shew you the word of the</w:t>
        <w:br w:type="textWrapping"/>
        <w:t xml:space="preserve">Lord.” Philo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alls Moses by this very name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numerous examp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les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cited from the Rabbinical books, in which</w:t>
        <w:br w:type="textWrapping"/>
        <w:t xml:space="preserve">the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given to Moses.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the Apostle add this last clause?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</w:t>
        <w:br w:type="textWrapping"/>
        <w:t xml:space="preserve">inclined to think with Meyer that it is,—</w:t>
        <w:br w:type="textWrapping"/>
        <w:t xml:space="preserve">not to disparage the Law in comparis</w:t>
        <w:br w:type="textWrapping"/>
        <w:t xml:space="preserve">with the Gospel or with the promise, but to</w:t>
        <w:br w:type="textWrapping"/>
        <w:t xml:space="preserve">enhance the solemnity of the giving of the</w:t>
        <w:br w:type="textWrapping"/>
        <w:t xml:space="preserve">law as a preparation for Christ, in answer</w:t>
        <w:br w:type="textWrapping"/>
        <w:t xml:space="preserve">to the somewhat disparaging question,</w:t>
        <w:br w:type="textWrapping"/>
        <w:t xml:space="preserve">“what is the use of the law?” If the</w:t>
        <w:br w:type="textWrapping"/>
        <w:t xml:space="preserve">being given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means 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</w:t>
        <w:br w:type="textWrapping"/>
        <w:t xml:space="preserve">here disparaging, as in Heb. ii. 2,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the like must have been expressed, as there, on the other side.</w:t>
        <w:br w:type="textWrapping"/>
        <w:t xml:space="preserve">the intervention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certainly no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agement of the old covenant in comparison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new, for this it</w:t>
        <w:br w:type="textWrapping"/>
        <w:t xml:space="preserve">has in common with the other. The fact</w:t>
        <w:br w:type="textWrapping"/>
        <w:t xml:space="preserve">is (see below on ver. 20), that no such</w:t>
        <w:br w:type="textWrapping"/>
        <w:t xml:space="preserve">comparison is in question here).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explanations of this verse, so</w:t>
        <w:br w:type="textWrapping"/>
        <w:t xml:space="preserve">obscure from its brevity, are so numerous</w:t>
        <w:br w:type="textWrapping"/>
        <w:t xml:space="preserve">(Winer counted 250: Jowett mentions 430)</w:t>
        <w:br w:type="textWrapping"/>
        <w:t xml:space="preserve">that they require a bibliography of their</w:t>
        <w:br w:type="textWrapping"/>
        <w:t xml:space="preserve">own. I believe we shall best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disentangle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sense as follows. (1) Clearly, the</w:t>
        <w:br w:type="textWrapping"/>
        <w:t xml:space="preserve">terms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opposed.</w:t>
        <w:br w:type="textWrapping"/>
        <w:t xml:space="preserve">(2) As clearly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cannot be of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opposed. (3) From this contrast</w:t>
        <w:br w:type="textWrapping"/>
        <w:t xml:space="preserve">arises an apparent opposition between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 and the promises of God, which gives</w:t>
        <w:br w:type="textWrapping"/>
        <w:t xml:space="preserve">occasion to the question of ver. 21. Taking</w:t>
        <w:br w:type="textWrapping"/>
        <w:t xml:space="preserve">up therefore again (1),—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mediator,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</w:t>
        <w:br w:type="textWrapping"/>
        <w:t xml:space="preserve">whose hand the law was enacted, stands</w:t>
        <w:br w:type="textWrapping"/>
        <w:t xml:space="preserve">opposed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giver of the promises.</w:t>
        <w:br w:type="textWrapping"/>
        <w:t xml:space="preserve">And that, in this respect (2) ;—(a)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mediator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(b)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</w:t>
        <w:br w:type="textWrapping"/>
        <w:t xml:space="preserve">herein lies the knot of the verse; that is, in</w:t>
        <w:br w:type="textWrapping"/>
        <w:t xml:space="preserve">(b),— for the meaning of (a) is pretty clear</w:t>
        <w:br w:type="textWrapping"/>
        <w:t xml:space="preserve">on all hands; viz. that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 mediator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does not</w:t>
        <w:br w:type="textWrapping"/>
        <w:t xml:space="preserve">belong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one party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(masculine) but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going between one party and</w:t>
        <w:br w:type="textWrapping"/>
        <w:t xml:space="preserve">another). Then to guide us to the meaning</w:t>
        <w:br w:type="textWrapping"/>
        <w:t xml:space="preserve">of (b), we must remember, that the numerical contrast is the primary idea: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 mediator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belongs not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God is one.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Shall we then say, that all reference of the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applied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beyond this</w:t>
        <w:br w:type="textWrapping"/>
        <w:t xml:space="preserve">numerical one is to be repudiated? I cannot</w:t>
        <w:br w:type="textWrapping"/>
        <w:t xml:space="preserve">think so. The proposition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is one”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would carry to the mind of every reader</w:t>
        <w:br w:type="textWrapping"/>
        <w:t xml:space="preserve">much more than the 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numerical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unity</w:t>
        <w:br w:type="textWrapping"/>
        <w:t xml:space="preserve">of God—viz. His Unity as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essential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attribute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extending through the whole</w:t>
        <w:br w:type="textWrapping"/>
        <w:t xml:space="preserve">divine Character. And thus, though the</w:t>
        <w:br w:type="textWrapping"/>
        <w:t xml:space="preserve">proposition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mediator is not of one,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not, by itself, convey any meaning</w:t>
        <w:br w:type="textWrapping"/>
        <w:t xml:space="preserve">but that a mediator belongs to more than</w:t>
        <w:br w:type="textWrapping"/>
        <w:t xml:space="preserve">one, it would, when combined with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God is</w:t>
        <w:br w:type="textWrapping"/>
        <w:t xml:space="preserve">one,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 a shade of meaning which it</w:t>
        <w:br w:type="textWrapping"/>
        <w:t xml:space="preserve">did not bear before,—of a state of things</w:t>
        <w:br w:type="textWrapping"/>
        <w:t xml:space="preserve">involved in the fact 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mediator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  <w:br w:type="textWrapping"/>
        <w:t xml:space="preserve">employed, which was not according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God, or, so to speak, in the main</w:t>
        <w:br w:type="textWrapping"/>
        <w:t xml:space="preserve">track of His unchanging purpose. And</w:t>
        <w:br w:type="textWrapping"/>
        <w:t xml:space="preserve">thus (3), the law, administered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mediator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belonging to a state inconsistent.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 state of two at variance, is</w:t>
        <w:br w:type="textWrapping"/>
        <w:t xml:space="preserve">apparently opposed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promises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belonging entirely to THE ONE, the one</w:t>
        <w:br w:type="textWrapping"/>
        <w:t xml:space="preserve">(faithful) God. And observe, that the</w:t>
        <w:br w:type="textWrapping"/>
        <w:t xml:space="preserve">above explanation is deduced entirely from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 of the sentence itself,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from</w:t>
        <w:br w:type="textWrapping"/>
        <w:t xml:space="preserve">the idea which the expression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“God is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must necessarily raise in the mind of</w:t>
        <w:br w:type="textWrapping"/>
        <w:t xml:space="preserve">its reader, accustomed to the proposition as</w:t>
        <w:br w:type="textWrapping"/>
        <w:t xml:space="preserve">the foundation of the faith;—not from any</w:t>
        <w:br w:type="textWrapping"/>
        <w:t xml:space="preserve">preconceived view, to suit which the words,</w:t>
        <w:br w:type="textWrapping"/>
        <w:t xml:space="preserve">or emphatic arrangement, must be forced.</w:t>
        <w:br w:type="textWrapping"/>
        <w:t xml:space="preserve">Notice by the way, that the objection, that</w:t>
        <w:br w:type="textWrapping"/>
        <w:t xml:space="preserve">the Gospel too 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the hand of a mediator,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not apply here: for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there is no question here of the Gospel, but only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promises,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direct from God: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mediator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WYF4mFGVppOqUHGpTjJLD5oGg==">CgMxLjA4AHIhMURCY0FPR0x6MWJpWHkzcTN3aVAzZ3Q5ajRyV2t6ZnEx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