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Gospel is altogether different, and</w:t>
        <w:br w:type="textWrapping"/>
        <w:t xml:space="preserve">His work different: He has absolutely re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iled the parties at variance, and MADE</w:t>
        <w:br w:type="textWrapping"/>
        <w:t xml:space="preserve">THEM ONE in Himself. Remember St.</w:t>
        <w:br w:type="textWrapping"/>
        <w:t xml:space="preserve">Paul’s habit of insulating the matter in</w:t>
        <w:br w:type="textWrapping"/>
        <w:t xml:space="preserve">hand, and dealing with it irrespective of all</w:t>
        <w:br w:type="textWrapping"/>
        <w:t xml:space="preserve">such possible objections. I must refer the</w:t>
        <w:br w:type="textWrapping"/>
        <w:t xml:space="preserve">reader for even the shortest account of</w:t>
        <w:br w:type="textWrapping"/>
        <w:t xml:space="preserve">other explanations, to my Greek Test.</w:t>
        <w:br w:type="textWrapping"/>
        <w:t xml:space="preserve">We may profitably lay down one or two</w:t>
        <w:br w:type="textWrapping"/>
        <w:t xml:space="preserve">canons of interpretation of the verse. (1)</w:t>
        <w:br w:type="textWrapping"/>
        <w:t xml:space="preserve">Every interpretation is wrong, which understands Christ 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mediator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this</w:t>
        <w:br w:type="textWrapping"/>
        <w:t xml:space="preserve">verse. The context determines it to be abstract, and its reference to be to Moses,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ediator of the Law. (2) Every interpretation is wrong, which makes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mean ‘one</w:t>
        <w:br w:type="textWrapping"/>
        <w:t xml:space="preserve">party’ in the covenant.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God is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itself</w:t>
        <w:br w:type="textWrapping"/>
        <w:t xml:space="preserve">confutes any such view, being a wellknown general proposition, not admitting</w:t>
        <w:br w:type="textWrapping"/>
        <w:t xml:space="preserve">of a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concrete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interpretation. (3) Every</w:t>
        <w:br w:type="textWrapping"/>
        <w:t xml:space="preserve">interpretation is wrong, which confines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is one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its mere numerical meaning,</w:t>
        <w:br w:type="textWrapping"/>
        <w:t xml:space="preserve">and does not take into account the ideas</w:t>
        <w:br w:type="textWrapping"/>
        <w:t xml:space="preserve">which the general proposition would raise.</w:t>
        <w:br w:type="textWrapping"/>
        <w:t xml:space="preserve">4) Every interpretation is wrong, which</w:t>
        <w:br w:type="textWrapping"/>
        <w:t xml:space="preserve">deduces from the verse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agreement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</w:t>
        <w:br w:type="textWrapping"/>
        <w:t xml:space="preserve">the law with the promises: because the</w:t>
        <w:br w:type="textWrapping"/>
        <w:t xml:space="preserve">Apostle himself, in the next verse, draws</w:t>
        <w:br w:type="textWrapping"/>
        <w:t xml:space="preserve">the very opposite inference from it, and</w:t>
        <w:br w:type="textWrapping"/>
        <w:t xml:space="preserve">refutes it on other grounds. (5) Every</w:t>
        <w:br w:type="textWrapping"/>
        <w:t xml:space="preserve">attempt to set aside the verse as a gloss is</w:t>
        <w:br w:type="textWrapping"/>
        <w:t xml:space="preserve">utterly futile.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21.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law being</w:t>
        <w:br w:type="textWrapping"/>
        <w:t xml:space="preserve">thus set over against the promises,—being</w:t>
        <w:br w:type="textWrapping"/>
        <w:t xml:space="preserve">given through a mediator between two,—the promises by the one God,—it</w:t>
        <w:br w:type="textWrapping"/>
        <w:t xml:space="preserve">might seem as if there were an inconsistency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between them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words of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God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</w:t>
        <w:br w:type="textWrapping"/>
        <w:t xml:space="preserve">not without emphasis: the promises given</w:t>
        <w:br w:type="textWrapping"/>
        <w:t xml:space="preserve">rest immediately on God, and were given</w:t>
        <w:br w:type="textWrapping"/>
        <w:t xml:space="preserve">by no mediator.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if, &amp;c.]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Notwithstanding all the above features of contrast</w:t>
        <w:br w:type="textWrapping"/>
        <w:t xml:space="preserve">between the law and the prophets, it is</w:t>
        <w:br w:type="textWrapping"/>
        <w:t xml:space="preserve">not against them, for it does not pretend</w:t>
        <w:br w:type="textWrapping"/>
        <w:t xml:space="preserve">to perform the same office: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if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 did,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then</w:t>
        <w:br w:type="textWrapping"/>
        <w:t xml:space="preserve">there would be this rivalry, which now</w:t>
        <w:br w:type="textWrapping"/>
        <w:t xml:space="preserve">does not exist. The 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give life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takes for granted that we by nature are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 trespasses and sins.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verily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has the emphasis: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very truth,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not</w:t>
        <w:br w:type="textWrapping"/>
        <w:t xml:space="preserve">only in the fancy of some,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the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</w:t>
        <w:br w:type="textWrapping"/>
        <w:t xml:space="preserve">its ground)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would have been righteousness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(which is the condition of life eternal.—If</w:t>
        <w:br w:type="textWrapping"/>
        <w:t xml:space="preserve">life, the result, had been given by the law,</w:t>
        <w:br w:type="textWrapping"/>
        <w:t xml:space="preserve">then righteousness,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condition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life,</w:t>
        <w:br w:type="textWrapping"/>
        <w:t xml:space="preserve">must have been by it also: reasoning from</w:t>
        <w:br w:type="textWrapping"/>
        <w:t xml:space="preserve">the whole to its part).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22.] Howbeit,</w:t>
        <w:br w:type="textWrapping"/>
        <w:t xml:space="preserve">ive., but on the contrary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not being</w:t>
        <w:br w:type="textWrapping"/>
        <w:t xml:space="preserve">the case,—no law having been given out</w:t>
        <w:br w:type="textWrapping"/>
        <w:t xml:space="preserve">of which could come righteousness)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</w:t>
        <w:br w:type="textWrapping"/>
        <w:t xml:space="preserve">scripture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 the Law; but as in ver. 8,</w:t>
        <w:br w:type="textWrapping"/>
        <w:t xml:space="preserve">the Author of Scripture, speaking by that,</w:t>
        <w:br w:type="textWrapping"/>
        <w:t xml:space="preserve">His witness)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shut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(see note Rom. xi. 32,</w:t>
        <w:br w:type="textWrapping"/>
        <w:t xml:space="preserve">where the same expression occurs. “The</w:t>
        <w:br w:type="textWrapping"/>
        <w:t xml:space="preserve">term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shut up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beautifully chosen to set</w:t>
        <w:br w:type="textWrapping"/>
        <w:t xml:space="preserve">off more clearly the idea of Christian freedom by and by.” Windischmann: see</w:t>
        <w:br w:type="textWrapping"/>
        <w:t xml:space="preserve">ch. v. 1)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all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(literally, all things: neuter,</w:t>
        <w:br w:type="textWrapping"/>
        <w:t xml:space="preserve">as indicating the entirety of mankind and</w:t>
        <w:br w:type="textWrapping"/>
        <w:t xml:space="preserve">man’s world: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all human matters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under</w:t>
        <w:br w:type="textWrapping"/>
        <w:t xml:space="preserve">sin, in order that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intention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God, as</w:t>
        <w:br w:type="textWrapping"/>
        <w:t xml:space="preserve">in Rom. xi. 832: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the mere result,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here</w:t>
        <w:br w:type="textWrapping"/>
        <w:t xml:space="preserve">or any where else)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promise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(i.e. the</w:t>
        <w:br w:type="textWrapping"/>
        <w:t xml:space="preserve">things promised—the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inheritance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f. vv.</w:t>
        <w:br w:type="textWrapping"/>
        <w:t xml:space="preserve">16, 18) (which 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(depends upon, is</w:t>
        <w:br w:type="textWrapping"/>
        <w:t xml:space="preserve">conditioned by)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 of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(which has for its</w:t>
        <w:br w:type="textWrapping"/>
        <w:t xml:space="preserve">object and its Giver—is a matter altogether belonging to)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Jesus Christ might be</w:t>
        <w:br w:type="textWrapping"/>
        <w:t xml:space="preserve">given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(be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free gift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the emphasis)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to them that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word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given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having the emphasis,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them</w:t>
        <w:br w:type="textWrapping"/>
        <w:t xml:space="preserve">that believe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does no more than take up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by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above, as if it had</w:t>
        <w:br w:type="textWrapping"/>
        <w:t xml:space="preserve">been said ‘to those who fulfil that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ondition’).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carries us on</w:t>
        <w:br w:type="textWrapping"/>
        <w:t xml:space="preserve">to a further account of the rationale and</w:t>
        <w:br w:type="textWrapping"/>
        <w:t xml:space="preserve">office of the law)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(this)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faith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(not,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in the sense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objects of</w:t>
        <w:br w:type="textWrapping"/>
        <w:t xml:space="preserve">faith,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but the faith just mentioned, viz.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faith of Jesus Christ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which did not</w:t>
        <w:br w:type="textWrapping"/>
        <w:t xml:space="preserve">exist until Christ)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came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(was found, or was</w:t>
        <w:br w:type="textWrapping"/>
        <w:t xml:space="preserve">possible, in men),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(properly, we Jewish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QzYUY+bgMcolsu5uOSD1sD7nUw==">CgMxLjA4AHIhMVdPNGxoZHdCNGRLUkFwQjM0WkN5MXAtYmF2ZDVJMWhL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