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fanatical spirits who depreciate the majesty of</w:t>
        <w:br w:type="textWrapping"/>
        <w:t xml:space="preserve">Baptism, and speak wickedly and impiously</w:t>
        <w:br w:type="textWrapping"/>
        <w:t xml:space="preserve">concerning it. Paul, on the other hand,</w:t>
        <w:br w:type="textWrapping"/>
        <w:t xml:space="preserve">dignifies Baptism with sublime titles, calling it the font of regeneration and of the</w:t>
        <w:br w:type="textWrapping"/>
        <w:t xml:space="preserve">renewal by the Holy Spirit (Tit. iii. 5),</w:t>
        <w:br w:type="textWrapping"/>
        <w:t xml:space="preserve">and here says that all the baptized put on</w:t>
        <w:br w:type="textWrapping"/>
        <w:t xml:space="preserve">Christ: as if he said: ye have not received</w:t>
        <w:br w:type="textWrapping"/>
        <w:t xml:space="preserve">in baptism a mere ticket of admission into</w:t>
        <w:br w:type="textWrapping"/>
        <w:t xml:space="preserve">the number of Christians, as many fanatics</w:t>
        <w:br w:type="textWrapping"/>
        <w:t xml:space="preserve">of our time have fancied, who have made</w:t>
        <w:br w:type="textWrapping"/>
        <w:t xml:space="preserve">of baptism a mere admission ticket, i.e. a</w:t>
        <w:br w:type="textWrapping"/>
        <w:t xml:space="preserve">transitory and empty sign: but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in baptism, they put on Christ: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  <w:br w:type="textWrapping"/>
        <w:t xml:space="preserve">ye were snatched away from the law into a</w:t>
        <w:br w:type="textWrapping"/>
        <w:t xml:space="preserve">new birth, which was effected in your baptism.” But we may notice too, as Meyer</w:t>
        <w:br w:type="textWrapping"/>
        <w:t xml:space="preserve">remarks, that the very putting on of Christ,</w:t>
        <w:br w:type="textWrapping"/>
        <w:t xml:space="preserve">which as matter of standing and profession</w:t>
        <w:br w:type="textWrapping"/>
        <w:t xml:space="preserve">is done in baptism, forms a subject of exhortation to those already baptized, in its</w:t>
        <w:br w:type="textWrapping"/>
        <w:t xml:space="preserve">ethical sense, Rom. xiii. 14).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absolute equality of all in this sonship, to</w:t>
        <w:br w:type="textWrapping"/>
        <w:t xml:space="preserve">the obliteration of all differences of earthly</w:t>
        <w:br w:type="textWrapping"/>
        <w:t xml:space="preserve">extraction or position. See Col. iii. 11;</w:t>
        <w:br w:type="textWrapping"/>
        <w:t xml:space="preserve">Rom. x. 12; 1 Cor xii. 13. Observe,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two</w:t>
        <w:br w:type="textWrapping"/>
        <w:t xml:space="preserve">former being accidental distinctions which</w:t>
        <w:br w:type="textWrapping"/>
        <w:t xml:space="preserve">may be entirely put off in falling back on</w:t>
        <w:br w:type="textWrapping"/>
        <w:t xml:space="preserve">our humanity,—but the latter a necessary</w:t>
        <w:br w:type="textWrapping"/>
        <w:t xml:space="preserve">distinction, absorbed however in the higher</w:t>
        <w:br w:type="textWrapping"/>
        <w:t xml:space="preserve">category: “there is no distinction into</w:t>
        <w:br w:type="textWrapping"/>
        <w:t xml:space="preserve">male and female.”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 why</w:t>
        <w:br w:type="textWrapping"/>
        <w:t xml:space="preserve">there is neither, &amp;c.—viz. our unity in</w:t>
        <w:br w:type="textWrapping"/>
        <w:t xml:space="preserve">Christ.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unavoidable inference from</w:t>
        <w:br w:type="textWrapping"/>
        <w:t xml:space="preserve">an assertion like this is,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Christianity</w:t>
        <w:br w:type="textWrapping"/>
        <w:t xml:space="preserve">did alter the condition of women and slaves.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[man],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forcible and more</w:t>
        <w:br w:type="textWrapping"/>
        <w:t xml:space="preserve">strict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we are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Him,</w:t>
        <w:br w:type="textWrapping"/>
        <w:t xml:space="preserve">“one new man,”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St. Paul says in Eph. ii.</w:t>
        <w:br w:type="textWrapping"/>
        <w:t xml:space="preserve">15, speaking on this very subject.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Abraham’s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(ver. 16): 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one in and with Christ, have put on</w:t>
        <w:br w:type="textWrapping"/>
        <w:t xml:space="preserve">Christ;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Abraham’s seed;</w:t>
        <w:br w:type="textWrapping"/>
        <w:t xml:space="preserve">consequently heirs by promise; for to</w:t>
        <w:br w:type="textWrapping"/>
        <w:t xml:space="preserve">Abraham and his seed were the promises</w:t>
        <w:br w:type="textWrapping"/>
        <w:t xml:space="preserve">made. The 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ye, Abraham’s,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according to promise,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especially on the</w:t>
        <w:br w:type="textWrapping"/>
        <w:t xml:space="preserve">latter,—carrying the conclusion of the</w:t>
        <w:br w:type="textWrapping"/>
        <w:t xml:space="preserve">argument, as against inheritance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law.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this verse, the note on</w:t>
        <w:br w:type="textWrapping"/>
        <w:t xml:space="preserve">ver. 16 above. “The declaration of ver. 7</w:t>
        <w:br w:type="textWrapping"/>
        <w:t xml:space="preserve">is now substantiated by 22 verses of the</w:t>
        <w:br w:type="textWrapping"/>
        <w:t xml:space="preserve">deepest, the most varied, and most comprehensive reasoning that exists in the</w:t>
        <w:br w:type="textWrapping"/>
        <w:t xml:space="preserve">whole compass of the great Apostle’s</w:t>
        <w:br w:type="textWrapping"/>
        <w:t xml:space="preserve">writings.” Ellicott.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IV. 1—7.]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shews the correspondence between our treatment under</w:t>
        <w:br w:type="textWrapping"/>
        <w:t xml:space="preserve">the law and that of heirs in general: and</w:t>
        <w:br w:type="textWrapping"/>
        <w:t xml:space="preserve">thus, by God’s dealing with us, in sending</w:t>
        <w:br w:type="textWrapping"/>
        <w:t xml:space="preserve">forth His Son, whose Spirit of Sonship we</w:t>
        <w:br w:type="textWrapping"/>
        <w:t xml:space="preserve">have received, confirms (ver. 7) the conclusion that WE ARE HEIRS.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the</w:t>
        <w:br w:type="textWrapping"/>
        <w:t xml:space="preserve">heir]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heir, generic. The question,</w:t>
        <w:br w:type="textWrapping"/>
        <w:t xml:space="preserve">whether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to</w:t>
        <w:br w:type="textWrapping"/>
        <w:t xml:space="preserve">he thought of as dead, or absent, or living</w:t>
        <w:br w:type="textWrapping"/>
        <w:t xml:space="preserve">and present, is in fact one of no importance: nor does it belong properly to the</w:t>
        <w:br w:type="textWrapping"/>
        <w:t xml:space="preserve">consideration of the passage. The fact is,</w:t>
        <w:br w:type="textWrapping"/>
        <w:t xml:space="preserve">the antitype breaks through the type, and</w:t>
        <w:br w:type="textWrapping"/>
        <w:t xml:space="preserve">disturbs it: as is the case, wherever the</w:t>
        <w:br w:type="textWrapping"/>
        <w:t xml:space="preserve">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spiritualized. The</w:t>
        <w:br w:type="textWrapping"/>
        <w:t xml:space="preserve">supposition in our text is, that a father</w:t>
        <w:br w:type="textWrapping"/>
        <w:t xml:space="preserve">(from what reason or under what circumsta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 matters not) has preordained a</w:t>
        <w:br w:type="textWrapping"/>
        <w:t xml:space="preserve">time for his son and heir to come of age,</w:t>
        <w:br w:type="textWrapping"/>
        <w:t xml:space="preserve">and till that time, has subjected him to</w:t>
        <w:br w:type="textWrapping"/>
        <w:t xml:space="preserve">guardians and stewards.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reason might be absence, or decease, or</w:t>
        <w:br w:type="textWrapping"/>
        <w:t xml:space="preserve">even high office or intense occupation, of</w:t>
        <w:br w:type="textWrapping"/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ther: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the</w:t>
        <w:br w:type="textWrapping"/>
        <w:t xml:space="preserve">Father's sovereign will: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circumstances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equally exist.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differeth nothing</w:t>
        <w:br w:type="textWrapping"/>
        <w:t xml:space="preserve">from a bond-servant]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he may be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r7eINQT+QBgLtxk2M7Ugj7/mQ==">CgMxLjA4AHIhMVZ1bW1lbWRGcDFLZUJ0TnpmUjFzaHhkbE5YMDA3X3gx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