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 have interpreted allegorically: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at the same time, in allegorizing Scripture,</w:t>
        <w:br w:type="textWrapping"/>
        <w:t xml:space="preserve">he will take care to follow the analog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faith, and proceed soberly, and in</w:t>
        <w:br w:type="textWrapping"/>
        <w:t xml:space="preserve">dependence on that Holy Spirit, who alone</w:t>
        <w:br w:type="textWrapping"/>
        <w:t xml:space="preserve">can put us in possession of His own mind.</w:t>
        <w:br w:type="textWrapping"/>
        <w:t xml:space="preserve">in His word.’ Calvin’s remarks here are</w:t>
        <w:br w:type="textWrapping"/>
        <w:t xml:space="preserve">good: “As then the family of Abraham</w:t>
        <w:br w:type="textWrapping"/>
        <w:t xml:space="preserve">was the true Church, so it is beyond doubt</w:t>
        <w:br w:type="textWrapping"/>
        <w:t xml:space="preserve">that the chief and most memorable events</w:t>
        <w:br w:type="textWrapping"/>
        <w:t xml:space="preserve">which happened in it, are so many types to</w:t>
        <w:br w:type="textWrapping"/>
        <w:t xml:space="preserve">us. As there was allegory in circumcision,</w:t>
        <w:br w:type="textWrapping"/>
        <w:t xml:space="preserve">in sacrifices, in the whole Levitical priest-</w:t>
        <w:br w:type="textWrapping"/>
        <w:t xml:space="preserve">hood: as there is now in our sacraments,—</w:t>
        <w:br w:type="textWrapping"/>
        <w:t xml:space="preserve">so, I say, was there then in the family of</w:t>
        <w:br w:type="textWrapping"/>
        <w:t xml:space="preserve">Abraham. But that is no reason why we</w:t>
        <w:br w:type="textWrapping"/>
        <w:t xml:space="preserve">should give up the literal sense.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amounts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same as if Paul said that a figure of</w:t>
        <w:br w:type="textWrapping"/>
        <w:t xml:space="preserve">the two Testaments in the two wives of</w:t>
        <w:br w:type="textWrapping"/>
        <w:t xml:space="preserve">Abraham, and of the two people in his two</w:t>
        <w:br w:type="textWrapping"/>
        <w:t xml:space="preserve">sons, is, as if in a picture, set forth to us.”</w:t>
        <w:br w:type="textWrapping"/>
        <w:t xml:space="preserve">Not the bare literal historical fact is in</w:t>
        <w:br w:type="textWrapping"/>
        <w:t xml:space="preserve">question here, but the inner character of</w:t>
        <w:br w:type="textWrapping"/>
        <w:t xml:space="preserve">God’s dealings with men, of which type,</w:t>
        <w:br w:type="textWrapping"/>
        <w:t xml:space="preserve">and prophecy, and the historical fact itself,</w:t>
        <w:br w:type="textWrapping"/>
        <w:t xml:space="preserve">are only so many exemplifications. The</w:t>
        <w:br w:type="textWrapping"/>
        <w:t xml:space="preserve">difference between the children of the bond</w:t>
        <w:br w:type="textWrapping"/>
        <w:t xml:space="preserve">-and the free, of the law and the promise,</w:t>
        <w:br w:type="textWrapping"/>
        <w:t xml:space="preserve">has been shewn out to the world before,</w:t>
        <w:br w:type="textWrapping"/>
        <w:t xml:space="preserve">by, and since the covenant of the law):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these women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mothers are the</w:t>
        <w:br w:type="textWrapping"/>
        <w:t xml:space="preserve">covenants;—the sons, the children of the</w:t>
        <w:br w:type="textWrapping"/>
        <w:t xml:space="preserve">covenants)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(import in the allegory)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two covenants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‘revelations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lite-</w:t>
        <w:br w:type="textWrapping"/>
        <w:t xml:space="preserve">rally covenants between God and men);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(covenant)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(indeed) from Mount Sinai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(taking its origin from,—or having Mount</w:t>
        <w:br w:type="textWrapping"/>
        <w:t xml:space="preserve">Sinai as its centre),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gendering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(bringing</w:t>
        <w:br w:type="textWrapping"/>
        <w:t xml:space="preserve">forth children: compare the expression, Ye</w:t>
        <w:br w:type="textWrapping"/>
        <w:t xml:space="preserve">are the children (sons)... of the cove-</w:t>
        <w:br w:type="textWrapping"/>
        <w:t xml:space="preserve">nant, Acts iii. 25)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a view to)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dage, which one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(identical in the</w:t>
        <w:br w:type="textWrapping"/>
        <w:t xml:space="preserve">allegory with)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Hagar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the</w:t>
        <w:br w:type="textWrapping"/>
        <w:t xml:space="preserve">word Hagar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(imports)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Mount Sinai, in</w:t>
        <w:br w:type="textWrapping"/>
        <w:t xml:space="preserve">Arabia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among the Arabians.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rendering, which is Chrysostom’s—“Mount</w:t>
        <w:br w:type="textWrapping"/>
        <w:t xml:space="preserve">Sinai is called ‘Hagar’ in their vernacular</w:t>
        <w:br w:type="textWrapping"/>
        <w:t xml:space="preserve">tongue,”—is I conceive necessitated by the</w:t>
        <w:br w:type="textWrapping"/>
        <w:t xml:space="preserve">arrangement of the sentence us well as by</w:t>
        <w:br w:type="textWrapping"/>
        <w:t xml:space="preserve">the expression here,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word Hagar,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not Hagar herself. Testimony has been</w:t>
        <w:br w:type="textWrapping"/>
        <w:t xml:space="preserve">adduced that the Arabs to this day call</w:t>
        <w:br w:type="textWrapping"/>
        <w:t xml:space="preserve">Mount Sinai Hadschar: and Chrysostom’s</w:t>
        <w:br w:type="textWrapping"/>
        <w:t xml:space="preserve">evidence is decisive for his own time. Cer-</w:t>
        <w:br w:type="textWrapping"/>
        <w:t xml:space="preserve">tainly we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Hagar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a geographical</w:t>
        <w:br w:type="textWrapping"/>
        <w:t xml:space="preserve">proper name in Arabia Petræa: the Chal-</w:t>
        <w:br w:type="textWrapping"/>
        <w:t xml:space="preserve">dee paraphrast always calls the wilderness</w:t>
        <w:br w:type="textWrapping"/>
        <w:t xml:space="preserve">of Shur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Hagra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So that Jowett certainly</w:t>
        <w:br w:type="textWrapping"/>
        <w:t xml:space="preserve">speaks too strongly when he says, “the old</w:t>
        <w:br w:type="textWrapping"/>
        <w:t xml:space="preserve">explanations, that Hagar is the Arabic</w:t>
        <w:br w:type="textWrapping"/>
        <w:t xml:space="preserve">word for a rock or the Arabie noun for</w:t>
        <w:br w:type="textWrapping"/>
        <w:t xml:space="preserve">Mount Sinai, are destitute of foundation.”</w:t>
        <w:br w:type="textWrapping"/>
        <w:t xml:space="preserve">As to the improbability at which he hints,</w:t>
        <w:br w:type="textWrapping"/>
        <w:t xml:space="preserve">of St. Paul quoting Arabic words in writing</w:t>
        <w:br w:type="textWrapping"/>
        <w:t xml:space="preserve">to the Galatians, we may well suppose St.</w:t>
        <w:br w:type="textWrapping"/>
        <w:t xml:space="preserve">Panl to have become familiarized, during</w:t>
        <w:br w:type="textWrapping"/>
        <w:t xml:space="preserve">his sojourn there, with this name for the</w:t>
        <w:br w:type="textWrapping"/>
        <w:t xml:space="preserve">granite peaks of Sinai),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 corresponds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Hagar, which is the subject, not</w:t>
        <w:br w:type="textWrapping"/>
        <w:t xml:space="preserve">Mount Sinai, 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the present</w:t>
        <w:br w:type="textWrapping"/>
        <w:t xml:space="preserve">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 Jerusalem under the law,—the Jerusalem of the Jews, as contrasted</w:t>
        <w:br w:type="textWrapping"/>
        <w:t xml:space="preserve">with the Jerusalem of the Messiah’s King-</w:t>
        <w:br w:type="textWrapping"/>
        <w:t xml:space="preserve">dom)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for she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present Jerusalem, not</w:t>
        <w:br w:type="textWrapping"/>
        <w:t xml:space="preserve">Hagar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in slavery with her children.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26.]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(opposes to the last sen-</w:t>
        <w:br w:type="textWrapping"/>
        <w:t xml:space="preserve">tence)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Jerusalem above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the hea-</w:t>
        <w:br w:type="textWrapping"/>
        <w:t xml:space="preserve">venly Jerusalem,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new 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Heb.</w:t>
        <w:br w:type="textWrapping"/>
        <w:t xml:space="preserve">xii. 22. Rev. iii. 12; xxi. 2. The ex-</w:t>
        <w:br w:type="textWrapping"/>
        <w:t xml:space="preserve">pression here will mean, “the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Messianic</w:t>
        <w:br w:type="textWrapping"/>
        <w:t xml:space="preserve">theocracy,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before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coming of</w:t>
        <w:br w:type="textWrapping"/>
        <w:t xml:space="preserve">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after it Christ’s</w:t>
        <w:br w:type="textWrapping"/>
        <w:t xml:space="preserve">Kingdom of glory.” Meyer)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free,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(which said city, which heavenly Jerusalem)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our mother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emphasis is not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nay rather it stands in the least emphatic</w:t>
        <w:br w:type="textWrapping"/>
        <w:t xml:space="preserve">place, as indicating a relation taken for</w:t>
        <w:br w:type="textWrapping"/>
        <w:t xml:space="preserve">granted by Christians. See Phil. iii. 20).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Proof of this relation from</w:t>
        <w:br w:type="textWrapping"/>
        <w:t xml:space="preserve">prophecy.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portion of Isaiah from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k5sbnkkTkcEJUIyZ+Dl1u1l41A==">CgMxLjA4AHIhMUwwM3NCcVFnTGFMN0VMTXNiWDBndDFLdzRXbGpvQmVL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