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this is taken, is directly Messianic:</w:t>
        <w:br w:type="textWrapping"/>
        <w:t xml:space="preserve">indicating in its foreground the reviviscence</w:t>
        <w:br w:type="textWrapping"/>
        <w:t xml:space="preserve">of Israel after calamity, but in language</w:t>
        <w:br w:type="textWrapping"/>
        <w:t xml:space="preserve">far surpassing that event. The citation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the Septuagint version, verbatim. St.</w:t>
        <w:br w:type="textWrapping"/>
        <w:t xml:space="preserve">Paul here interprets the barren of Sarah,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not according to the flesh (representing the promise), and the fruitful, of</w:t>
        <w:br w:type="textWrapping"/>
        <w:t xml:space="preserve">Hagar (representing the Law). In the</w:t>
        <w:br w:type="textWrapping"/>
        <w:t xml:space="preserve">next clause we must not render, as A.V.,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more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is inaccurate:</w:t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are the children of the desolate, more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(rather than; both being</w:t>
        <w:br w:type="textWrapping"/>
        <w:t xml:space="preserve">numerous, hers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numerous)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her,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 Now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we), brethren, like Isaac, are children of PROMISE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(emphatic:—are children,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</w:t>
        <w:br w:type="textWrapping"/>
        <w:t xml:space="preserve">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ver. 23,</w:t>
        <w:br w:type="textWrapping"/>
        <w:t xml:space="preserve">and below, ver. 29).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he that</w:t>
        <w:br w:type="textWrapping"/>
        <w:t xml:space="preserve">was born after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23. It</w:t>
        <w:br w:type="textWrapping"/>
        <w:t xml:space="preserve">has been thought that there is nothing in</w:t>
        <w:br w:type="textWrapping"/>
        <w:t xml:space="preserve">the Hebrew text to justify so strong a</w:t>
        <w:br w:type="textWrapping"/>
        <w:t xml:space="preserve">word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persecuted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runs, ‘and Sarah</w:t>
        <w:br w:type="textWrapping"/>
        <w:t xml:space="preserve">saw the son of Hagar mocking’—the Septuagint has, ‘sporting with her son Isaac.”</w:t>
        <w:br w:type="textWrapping"/>
        <w:t xml:space="preserve">‘The Hebrew word is the same as that used</w:t>
        <w:br w:type="textWrapping"/>
        <w:t xml:space="preserve">when Lot seemed as one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</w:t>
        <w:br w:type="textWrapping"/>
        <w:t xml:space="preserve">his sons-in-law, Gen. xix. 14. And this</w:t>
        <w:br w:type="textWrapping"/>
        <w:t xml:space="preserve">would be quite ground enough for the</w:t>
        <w:br w:type="textWrapping"/>
        <w:t xml:space="preserve">word here, for the spirit of persecution was</w:t>
        <w:br w:type="textWrapping"/>
        <w:t xml:space="preserve">begun. So that we need not refer to tradition, as many have done, to account for</w:t>
        <w:br w:type="textWrapping"/>
        <w:t xml:space="preserve">St. Paul’s expression.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[that was</w:t>
        <w:br w:type="textWrapping"/>
        <w:t xml:space="preserve">born] after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in virtue of the</w:t>
        <w:br w:type="textWrapping"/>
        <w:t xml:space="preserve">promise, which was given by the Spirit.</w:t>
        <w:br w:type="textWrapping"/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‘by virtue of the Spirit’s agency.’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the other is better.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 Nevertheless: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notwithstanding the fact of the persecution, just mentioned. The quotation</w:t>
        <w:br w:type="textWrapping"/>
        <w:t xml:space="preserve">is adapted from the Septuagint,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  <w:br w:type="textWrapping"/>
        <w:t xml:space="preserve">son Isaac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our English text) stands</w:t>
        <w:br w:type="textWrapping"/>
        <w:t xml:space="preserve">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the freewoman.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 need</w:t>
        <w:br w:type="textWrapping"/>
        <w:t xml:space="preserve">hardly have recourse to the fact that God</w:t>
        <w:br w:type="textWrapping"/>
        <w:t xml:space="preserve">confirmed Sarah’s words, in order to prove</w:t>
        <w:br w:type="textWrapping"/>
        <w:t xml:space="preserve">this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Apostle is allegorizing the whole history, and thus every</w:t>
        <w:br w:type="textWrapping"/>
        <w:t xml:space="preserve">part of it assumes a significance in the allegory.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am inclined to think,</w:t>
        <w:br w:type="textWrapping"/>
        <w:t xml:space="preserve">against Meyer, and others, that this verse</w:t>
        <w:br w:type="textWrapping"/>
        <w:t xml:space="preserve">is, as commonly taken, the conclusion from</w:t>
        <w:br w:type="textWrapping"/>
        <w:t xml:space="preserve">what has gone before: and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bound on to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preceding. For that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an</w:t>
        <w:br w:type="textWrapping"/>
        <w:t xml:space="preserve">acknowledged fact, established before, ch.</w:t>
        <w:br w:type="textWrapping"/>
        <w:t xml:space="preserve">iii. 29; ver. 7. And if we are, we are not</w:t>
        <w:br w:type="textWrapping"/>
        <w:t xml:space="preserve">the children of the handmaid, of whom it</w:t>
        <w:br w:type="textWrapping"/>
        <w:t xml:space="preserve">was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should not inherit,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of the freewoman, of whose son the same</w:t>
        <w:br w:type="textWrapping"/>
        <w:t xml:space="preserve">words asserted that he should inherit.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V. 1—12.]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may be called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peroration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whole second part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Epistle. It consists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earnest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cA2f+l4YSYqFg/AfTO91bcSHA==">CgMxLjA4AHIhMTIyaVlLTFM1RVRfdGhtWjBCNnJWLVpwNFdyNTktY2FO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