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sentence: “He saith 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but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  <w:br w:type="textWrapping"/>
        <w:t xml:space="preserve">bear, as one who is proud of trophies or</w:t>
        <w:br w:type="textWrapping"/>
        <w:t xml:space="preserve">royal standards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my body the</w:t>
        <w:br w:type="textWrapping"/>
        <w:t xml:space="preserve">marks of Jesus.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 used,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stigmata,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es, the marks branded on slaves</w:t>
        <w:br w:type="textWrapping"/>
        <w:t xml:space="preserve">to indicate their owners. These marks, in</w:t>
        <w:br w:type="textWrapping"/>
        <w:t xml:space="preserve">St. Paul’s case, were of course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scars of</w:t>
        <w:br w:type="textWrapping"/>
        <w:t xml:space="preserve">his wounds received in the service of his</w:t>
        <w:br w:type="textWrapping"/>
        <w:t xml:space="preserve">Master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—cf. 2 Cor. xi. 23 ff.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the genitive of possession: Jesus’s marks,</w:t>
        <w:br w:type="textWrapping"/>
        <w:t xml:space="preserve">shewing that I belong to Him. There is</w:t>
        <w:br w:type="textWrapping"/>
        <w:t xml:space="preserve">no allusion whatever to any similarity between himself and our Lord, ‘the marks</w:t>
        <w:br w:type="textWrapping"/>
        <w:t xml:space="preserve">which Jesus bore:’ such an allusion would</w:t>
        <w:br w:type="textWrapping"/>
        <w:t xml:space="preserve">be quite irrelevant: and with its irrelevancy falls a whole fabric of disgusting</w:t>
        <w:br w:type="textWrapping"/>
        <w:t xml:space="preserve">Romanist superstition which has been</w:t>
        <w:br w:type="textWrapping"/>
        <w:t xml:space="preserve">raised on this verse, and which the fair and</w:t>
        <w:br w:type="textWrapping"/>
        <w:t xml:space="preserve">learned Windischmann, giving as he does</w:t>
        <w:br w:type="textWrapping"/>
        <w:t xml:space="preserve">the honest interpretation here, yet attempts</w:t>
        <w:br w:type="textWrapping"/>
        <w:t xml:space="preserve">to defend in a supplemental note.—Neither</w:t>
        <w:br w:type="textWrapping"/>
        <w:t xml:space="preserve">can we naturally suppose any comparison</w:t>
        <w:br w:type="textWrapping"/>
        <w:t xml:space="preserve">intended between these his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stigmata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</w:t>
        <w:br w:type="textWrapping"/>
        <w:t xml:space="preserve">Christ’s servant,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circumcision: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he</w:t>
        <w:br w:type="textWrapping"/>
        <w:t xml:space="preserve">is not now on that subject, but on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authority as sealed by Christ: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such a</w:t>
        <w:br w:type="textWrapping"/>
        <w:t xml:space="preserve">comparison is alien from the majesty of the</w:t>
        <w:br w:type="textWrapping"/>
        <w:t xml:space="preserve">sentence.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APOSTOLIC BLESSING.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 special intention need be suspected in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your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</w:t>
        <w:br w:type="textWrapping"/>
        <w:t xml:space="preserve">Chrysostom does, saying,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thus dissuades them from fleshly reliance”), seeing</w:t>
        <w:br w:type="textWrapping"/>
        <w:t xml:space="preserve">that the same expression occurs at the end</w:t>
        <w:br w:type="textWrapping"/>
        <w:t xml:space="preserve">of other Epistles: see Phil. iv. 28; Philem.</w:t>
        <w:br w:type="textWrapping"/>
        <w:t xml:space="preserve">25; 2 Tim. iv. 22. I should rather regard it as a deep expression of his Christian</w:t>
        <w:br w:type="textWrapping"/>
        <w:t xml:space="preserve">love, which is further carried on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 last word,—parting from them, after</w:t>
        <w:br w:type="textWrapping"/>
        <w:t xml:space="preserve">an Epistle of such rebuke and warning, in</w:t>
        <w:br w:type="textWrapping"/>
        <w:t xml:space="preserve">the fulness of brotherhood in Christ.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Ez1vNdTQVNZNKG0Sn9Sq3dklqA==">CgMxLjA4AHIhMTRDZDB5dGc4RlpnWV9LOEZSa1pQOUN5WndERGhibElY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