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process of degeneracy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 strongly in</w:t>
        <w:br w:type="textWrapping"/>
        <w:t xml:space="preserve">English)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senseless (or foolish), but 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(know intelligently,—as matter of</w:t>
        <w:br w:type="textWrapping"/>
        <w:t xml:space="preserve">fact, as the servant who knew his</w:t>
        <w:br w:type="textWrapping"/>
        <w:t xml:space="preserve">lord’s will and did it not, Luke xii.</w:t>
        <w:br w:type="textWrapping"/>
        <w:t xml:space="preserve">47)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is the will of the Lord.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connexion seems to be: after</w:t>
        <w:br w:type="textWrapping"/>
        <w:t xml:space="preserve">the general antithesis in ver. 17,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</w:t>
        <w:br w:type="textWrapping"/>
        <w:t xml:space="preserve">foolish, but understand,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proceeds</w:t>
        <w:br w:type="textWrapping"/>
        <w:t xml:space="preserve">to give one prominent instance, in the</w:t>
        <w:br w:type="textWrapping"/>
        <w:t xml:space="preserve">same antithetical shape.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(introducing a particular case after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not drunken with wine, in</w:t>
        <w:br w:type="textWrapping"/>
        <w:t xml:space="preserve">which [practice]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wine,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being</w:t>
        <w:br w:type="textWrapping"/>
        <w:t xml:space="preserve">drunken with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crime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gift,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it: and the very</w:t>
        <w:br w:type="textWrapping"/>
        <w:t xml:space="preserve">arrangement of the sentence in the Greek,</w:t>
        <w:br w:type="textWrapping"/>
        <w:t xml:space="preserve">besides the spirit of it, implies the lawful</w:t>
        <w:br w:type="textWrapping"/>
        <w:t xml:space="preserve">use of wine—see 1 Tim. v. 23)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profligacy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in the Greek is derived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saving, squandering: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as spendthrifts are almost of necessity self-indulgent and reckless, the word comes to</w:t>
        <w:br w:type="textWrapping"/>
        <w:t xml:space="preserve">have 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‘dissoluteness,’ ‘debauchery,’ ‘profligacy’)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(contrast, see</w:t>
        <w:br w:type="textWrapping"/>
        <w:t xml:space="preserve">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filled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(antithesis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drunken</w:t>
        <w:br w:type="textWrapping"/>
        <w:t xml:space="preserve">with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let this</w:t>
        <w:br w:type="textWrapping"/>
        <w:t xml:space="preserve">be the region in, and the ingredient with</w:t>
        <w:br w:type="textWrapping"/>
        <w:t xml:space="preserve">which you are filled)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  <w:br w:type="textWrapping"/>
        <w:t xml:space="preserve">own spirit, dwelt in and informed by</w:t>
        <w:br w:type="textWrapping"/>
        <w:t xml:space="preserve">the Holy Spirit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ch.</w:t>
        <w:br w:type="textWrapping"/>
        <w:t xml:space="preserve">iv. 23. If this is so, if you are full of the</w:t>
        <w:br w:type="textWrapping"/>
        <w:t xml:space="preserve">Spirit, full in Spirit, there will be a joy</w:t>
        <w:br w:type="textWrapping"/>
        <w:t xml:space="preserve">indeed, but not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profligacy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one</w:t>
        <w:br w:type="textWrapping"/>
        <w:t xml:space="preserve">which will find its expression not in</w:t>
        <w:br w:type="textWrapping"/>
        <w:t xml:space="preserve">drunken songs, but in Christian hymns,</w:t>
        <w:br w:type="textWrapping"/>
        <w:t xml:space="preserve">and continual thankfulness);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speaking to one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iv. 32;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also the</w:t>
        <w:br w:type="textWrapping"/>
        <w:t xml:space="preserve">parallel place, Col. iii. 16. It is perhaps</w:t>
        <w:br w:type="textWrapping"/>
        <w:t xml:space="preserve">too much to find in this the practice of</w:t>
        <w:br w:type="textWrapping"/>
        <w:t xml:space="preserve">antiphonal chanting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is interesting</w:t>
        <w:br w:type="textWrapping"/>
        <w:t xml:space="preserve">to remember that in Pliny’s letter the</w:t>
        <w:br w:type="textWrapping"/>
        <w:t xml:space="preserve">Christians are described as accustomed to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meet on a set day before day, and to sing</w:t>
        <w:br w:type="textWrapping"/>
        <w:t xml:space="preserve">a song to Christ as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turns among</w:t>
        <w:br w:type="textWrapping"/>
        <w:t xml:space="preserve">themselves: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Nicephorus, Hist. xiii. 8, says,</w:t>
        <w:br w:type="textWrapping"/>
        <w:t xml:space="preserve">“The custom of antiphonal chanting the</w:t>
        <w:br w:type="textWrapping"/>
        <w:t xml:space="preserve">church has received from as far back as the</w:t>
        <w:br w:type="textWrapping"/>
        <w:t xml:space="preserve">Apostles”)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psalms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to be confined,</w:t>
        <w:br w:type="textWrapping"/>
        <w:t xml:space="preserve">as Olshansen and Stier, to Old Test. hymns;</w:t>
        <w:br w:type="textWrapping"/>
        <w:t xml:space="preserve">see 1 Cor. xiv. 26; James v. 13. The word</w:t>
        <w:br w:type="textWrapping"/>
        <w:t xml:space="preserve">properly signified those sacred songs which</w:t>
        <w:br w:type="textWrapping"/>
        <w:t xml:space="preserve">were performed with musical accompaniment,—as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hymns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 it: but the two</w:t>
        <w:br w:type="textWrapping"/>
        <w:t xml:space="preserve">must evidently here not be confined strictly</w:t>
        <w:br w:type="textWrapping"/>
        <w:t xml:space="preserve">to their proper meaning)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hymns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above)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[spiritual] songs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the general name for all lyrical poetry,</w:t>
        <w:br w:type="textWrapping"/>
        <w:t xml:space="preserve">and applying especially to such effusions</w:t>
        <w:br w:type="textWrapping"/>
        <w:t xml:space="preserve">as persons used in the state of drunkenness; the Christian’s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to be spiritual,</w:t>
        <w:br w:type="textWrapping"/>
        <w:t xml:space="preserve">inspired by that fulness of the Spirit which</w:t>
        <w:br w:type="textWrapping"/>
        <w:t xml:space="preserve">is in him)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singing and playing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well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explanatory of it: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singing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corresponding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hymns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psalms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your heart to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Christ—compare Pliny’s letter</w:t>
        <w:br w:type="textWrapping"/>
        <w:t xml:space="preserve">above)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 giving thanks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(another</w:t>
        <w:br w:type="textWrapping"/>
        <w:t xml:space="preserve">additional, not explanatory, clause)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always</w:t>
        <w:br w:type="textWrapping"/>
        <w:t xml:space="preserve">for 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Phil. iv. 6: not only for</w:t>
        <w:br w:type="textWrapping"/>
        <w:t xml:space="preserve">blessings, but for every dispensation of</w:t>
        <w:br w:type="textWrapping"/>
        <w:t xml:space="preserve">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element in which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giving thanks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take place. “The</w:t>
        <w:br w:type="textWrapping"/>
        <w:t xml:space="preserve">name of the Lord is there, where He is</w:t>
        <w:br w:type="textWrapping"/>
        <w:t xml:space="preserve">named.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is named, depends on</w:t>
        <w:br w:type="textWrapping"/>
        <w:t xml:space="preserve">the particular circumstances: it is one</w:t>
        <w:br w:type="textWrapping"/>
        <w:t xml:space="preserve">thing to be reproached [1 Pet. iv. 14],</w:t>
        <w:br w:type="textWrapping"/>
        <w:t xml:space="preserve">another to be saved [Acts iv. 12], another</w:t>
        <w:br w:type="textWrapping"/>
        <w:t xml:space="preserve">to be baptized [Acts x. 48], another to</w:t>
        <w:br w:type="textWrapping"/>
        <w:t xml:space="preserve">command [2 Thess. iii. 6], another to pray</w:t>
        <w:br w:type="textWrapping"/>
        <w:t xml:space="preserve">John xiv. 13], another to give thanks</w:t>
        <w:br w:type="textWrapping"/>
        <w:t xml:space="preserve">compare Col. iii. 17] in the name of the</w:t>
        <w:br w:type="textWrapping"/>
        <w:t xml:space="preserve">Lord. .... The Apostle says, that all the</w:t>
        <w:br w:type="textWrapping"/>
        <w:t xml:space="preserve">Christian would do, he must 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  <w:br w:type="textWrapping"/>
        <w:t xml:space="preserve">name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[Col. iii. 17].” Harless)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our Lord Jesus Christ to God and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Be4vz/CWJ7pp7RXICabD5+4V/A==">CgMxLjA4AHIhMXhuME8xZE5KVGZnWFpqcHNuN0VONzBydUhqQ2NFQ2JN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