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Christ with our humanity, typified by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lose conjunction of the marriage state.</w:t>
        <w:br w:type="textWrapping"/>
        <w:t xml:space="preserve">This meaning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mystery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strictly</w:t>
        <w:br w:type="textWrapping"/>
        <w:t xml:space="preserve">that in which St. Paul uses the word,—as</w:t>
        <w:br w:type="textWrapping"/>
        <w:t xml:space="preserve">something passing human comprehension,</w:t>
        <w:br w:type="textWrapping"/>
        <w:t xml:space="preserve">but revealed as a portion of the divine</w:t>
        <w:br w:type="textWrapping"/>
        <w:t xml:space="preserve">dealings in Christ,—is, it seems to me, required by the next words. It is irksome,</w:t>
        <w:br w:type="textWrapping"/>
        <w:t xml:space="preserve">but necessary, to notice the ridiculous per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ersion of this text by the Romish church,</w:t>
        <w:br w:type="textWrapping"/>
        <w:t xml:space="preserve">which from the Vulgate rendering, deduces</w:t>
        <w:br w:type="textWrapping"/>
        <w:t xml:space="preserve">that ‘marriage is a great sacrament in</w:t>
        <w:br w:type="textWrapping"/>
        <w:t xml:space="preserve">Christ and in His Church.’ It will be</w:t>
        <w:br w:type="textWrapping"/>
        <w:t xml:space="preserve">enough to say that this their foolish blunder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sacrament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for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mystery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had</w:t>
        <w:br w:type="textWrapping"/>
        <w:t xml:space="preserve">long ago been exposed by their own Commentators, Cajetan and Estius)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: but 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(emphatic)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(allege) 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 with reference to</w:t>
        <w:br w:type="textWrapping"/>
        <w:t xml:space="preserve">Christ and [with reference to] the church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meaning, in citing the above text,</w:t>
        <w:br w:type="textWrapping"/>
        <w:t xml:space="preserve">is to call your attention, not to mere human</w:t>
        <w:br w:type="textWrapping"/>
        <w:t xml:space="preserve">marriage, but to that high and mysterious</w:t>
        <w:br w:type="textWrapping"/>
        <w:t xml:space="preserve">relation between Christ and His Church,</w:t>
        <w:br w:type="textWrapping"/>
        <w:t xml:space="preserve">of which that other is but a faint resemblance).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33.] Nevertheless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to</w:t>
        <w:br w:type="textWrapping"/>
        <w:t xml:space="preserve">go further into the mystical bearings of</w:t>
        <w:br w:type="textWrapping"/>
        <w:t xml:space="preserve">the subject)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well as Christ)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every one, let each so love his own wife</w:t>
        <w:br w:type="textWrapping"/>
        <w:t xml:space="preserve">as himself; and the wife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the making</w:t>
        <w:br w:type="textWrapping"/>
        <w:t xml:space="preserve">out of the sentence, a verb must be supplied:—but the wife, for her part,—‘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  <w:br w:type="textWrapping"/>
        <w:t xml:space="preserve">order,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or,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let her see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that she fear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</w:t>
        <w:br w:type="textWrapping"/>
        <w:t xml:space="preserve">literally :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cumenius says, “As a wife</w:t>
        <w:br w:type="textWrapping"/>
        <w:t xml:space="preserve">ought to fear, not as a slave”)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her husband.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VI. 1—4.]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on ch. v. 22.—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Duties of children and parents.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Children,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obey your parents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</w:t>
        <w:br w:type="textWrapping"/>
        <w:t xml:space="preserve">Christ: the sphere in which the action is</w:t>
        <w:br w:type="textWrapping"/>
        <w:t xml:space="preserve">to take place, as usual: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Lord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belonging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obey your parents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to the</w:t>
        <w:br w:type="textWrapping"/>
        <w:t xml:space="preserve">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 parents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your parents in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”), nor can this be combined, as a</w:t>
        <w:br w:type="textWrapping"/>
        <w:t xml:space="preserve">second reference, with the other, as Origen</w:t>
        <w:br w:type="textWrapping"/>
        <w:t xml:space="preserve">does, understanding ‘your fathers in the</w:t>
        <w:br w:type="textWrapping"/>
        <w:t xml:space="preserve">faith, “as Paul was of the Corinthians.”</w:t>
        <w:br w:type="textWrapping"/>
        <w:t xml:space="preserve">I should venture however to question whether the Apostle’s view was to hint that</w:t>
        <w:br w:type="textWrapping"/>
        <w:t xml:space="preserve">such commands of parents as might not be</w:t>
        <w:br w:type="textWrapping"/>
        <w:t xml:space="preserve">according to the will of God, should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</w:t>
        <w:br w:type="textWrapping"/>
        <w:t xml:space="preserve">obeyed, as is very generally supposed: for</w:t>
        <w:br w:type="textWrapping"/>
        <w:t xml:space="preserve">in Col. iii. 20 he says,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Obey your parents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all things.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 should rather believe,</w:t>
        <w:br w:type="textWrapping"/>
        <w:t xml:space="preserve">that he regards both parents and children</w:t>
        <w:br w:type="textWrapping"/>
        <w:t xml:space="preserve">as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in the Lord,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the commands, as well</w:t>
        <w:br w:type="textWrapping"/>
        <w:t xml:space="preserve">as the obedience, as having that sphere</w:t>
        <w:br w:type="textWrapping"/>
        <w:t xml:space="preserve">and element. How children were to regard commands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answering to this description,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would be understood from the</w:t>
        <w:br w:type="textWrapping"/>
        <w:t xml:space="preserve">nature of the case: but it seems to violate</w:t>
        <w:br w:type="textWrapping"/>
        <w:t xml:space="preserve">the simplicity of this passage, which proceeds on the general principle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being subject to one another,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introduce into it a</w:t>
        <w:br w:type="textWrapping"/>
        <w:t xml:space="preserve">by-thought of this kind)]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: for this is</w:t>
        <w:br w:type="textWrapping"/>
        <w:t xml:space="preserve">right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(many regard the word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right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 explained by the next verse, and meaning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according to the law of God.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But it</w:t>
        <w:br w:type="textWrapping"/>
        <w:t xml:space="preserve">seems rather an appeal to the first principles of natural duty ; that we should render</w:t>
        <w:br w:type="textWrapping"/>
        <w:t xml:space="preserve">obedience to those from whom we have</w:t>
        <w:br w:type="textWrapping"/>
        <w:t xml:space="preserve">received life).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2.] Honour thy father</w:t>
        <w:br w:type="textWrapping"/>
        <w:t xml:space="preserve">and thy mother; for such is the first commandment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(in the Decalogue, which naturally stands at the head of all God’s other</w:t>
        <w:br w:type="textWrapping"/>
        <w:t xml:space="preserve">commandments; and which, though not.</w:t>
        <w:br w:type="textWrapping"/>
        <w:t xml:space="preserve">formally binding on us as Christians, is</w:t>
        <w:br w:type="textWrapping"/>
        <w:t xml:space="preserve">quoted, in matters of eternal obligation</w:t>
        <w:br w:type="textWrapping"/>
        <w:t xml:space="preserve">[not of positive enactment], as an eminent</w:t>
        <w:br w:type="textWrapping"/>
        <w:t xml:space="preserve">example of God’s holy will) with a promise</w:t>
        <w:br w:type="textWrapping"/>
        <w:t xml:space="preserve">(i.e. with a special promise attached. The</w:t>
        <w:br w:type="textWrapping"/>
        <w:t xml:space="preserve">occurrence of the description of God as</w:t>
        <w:br w:type="textWrapping"/>
        <w:t xml:space="preserve">‘shewing mercy unto thousands, &amp;c.,’ after</w:t>
        <w:br w:type="textWrapping"/>
        <w:t xml:space="preserve">the second commandment, does not, as</w:t>
        <w:br w:type="textWrapping"/>
        <w:t xml:space="preserve">Jerome and others have thought, present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sther Sun" w:id="0" w:date="2023-11-14T14:25:21Z"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1.]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BdxuG7VXouvY67GEQobG4gcUiQ==">CgMxLjAaJwoBMBIiCiAIBCocCgtBQUFBX2FKby15WRAIGgtBQUFBX2FKby15WSLYAQoLQUFBQV9hSm8teVkSqAEKC0FBQUFfYUpvLXlZEgtBQUFBX2FKby15WRoQCgl0ZXh0L2h0bWwSAzEuXSIRCgp0ZXh0L3BsYWluEgMxLl0qGyIVMTA5NjMyMzc4NDcwNTcyOTg2MzI1KAA4ADD36ePxvDE49+nj8bwxShcKCnRleHQvcGxhaW4SCUNoaWxkcmVuLFoMN3FiaWtvZTlrYXN6cgIgAHgAmgEGCAAQABgAqgEFEgMxLl0Y9+nj8bwxIPfp4/G8MUIQa2l4LnI4OXB3cHkxazVjbzgAciExUmZ0S2NNMVpubGJTWDdjTzRPZHMxRzlISllTVkZSV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