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personal, the adversary must be not an abstract principle, but a concrete person).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And 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(receive, the Lord offering it</w:t>
        <w:br w:type="textWrapping"/>
        <w:t xml:space="preserve">to you)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helmet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 of apposition</w:t>
        <w:br w:type="textWrapping"/>
        <w:t xml:space="preserve">as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parallel, 1 Thess.</w:t>
        <w:br w:type="textWrapping"/>
        <w:t xml:space="preserve">v. 8, the helmet is the hope of salvation.</w:t>
        <w:br w:type="textWrapping"/>
        <w:t xml:space="preserve">Here,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appropriated,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  <w:br w:type="textWrapping"/>
        <w:t xml:space="preserve">faith)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the sword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(furnished, forged,</w:t>
        <w:br w:type="textWrapping"/>
        <w:t xml:space="preserve">by: not here the genitive of apposition,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follows after)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Spirit, which</w:t>
        <w:br w:type="textWrapping"/>
        <w:t xml:space="preserve">sword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Gal. iv. 24 reff.)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Gospel: see the</w:t>
        <w:br w:type="textWrapping"/>
        <w:t xml:space="preserve">obvious parallel, Heb. iv. 12: also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i, 16: and our pattern for the use of this</w:t>
        <w:br w:type="textWrapping"/>
        <w:t xml:space="preserve">sword of the Spirit, Matt. iv. 4, 7, 10):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state through</w:t>
        <w:br w:type="textWrapping"/>
        <w:t xml:space="preserve">which, as an instrument, the action takes</w:t>
        <w:br w:type="textWrapping"/>
        <w:t xml:space="preserve">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(kind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 and supplication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(“it has been doubted whether there is any</w:t>
        <w:br w:type="textWrapping"/>
        <w:t xml:space="preserve">exact distinction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supplication.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and Theodoret on</w:t>
        <w:br w:type="textWrapping"/>
        <w:t xml:space="preserve">1 Tim. ii. 1 explain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asking for</w:t>
        <w:br w:type="textWrapping"/>
        <w:t xml:space="preserve">good things,—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beseeching</w:t>
        <w:br w:type="textWrapping"/>
        <w:t xml:space="preserve">deliverance from trouble. The most natural</w:t>
        <w:br w:type="textWrapping"/>
        <w:t xml:space="preserve">and obvious distinction is that adopted by</w:t>
        <w:br w:type="textWrapping"/>
        <w:t xml:space="preserve">nearly all recent Commentators, viz.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prayer in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supplication,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special character or form of it, a</w:t>
        <w:br w:type="textWrapping"/>
        <w:t xml:space="preserve">petition,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praying in every</w:t>
        <w:br w:type="textWrapping"/>
        <w:t xml:space="preserve">season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(literal: see Luke xviii. 1 note, and</w:t>
        <w:br w:type="textWrapping"/>
        <w:t xml:space="preserve">1 Thess. v. 17. There seems to be an allusion to our Lord’s saying, which is expressed</w:t>
        <w:br w:type="textWrapping"/>
        <w:t xml:space="preserve">in these same words, Luke xxi. 86)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Holy Spirit: see especially Jude</w:t>
        <w:br w:type="textWrapping"/>
        <w:t xml:space="preserve">20, and Rom. viii. 15, 26; Gal. iv. 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</w:t>
        <w:br w:type="textWrapping"/>
        <w:t xml:space="preserve">thereunto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reference to their employment which has been just mentioned.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tinual habits of prayer cannot be kept up</w:t>
        <w:br w:type="textWrapping"/>
        <w:t xml:space="preserve">without watchfulness to that very end)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watching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(element in which: watching,</w:t>
        <w:br w:type="textWrapping"/>
        <w:t xml:space="preserve">being employed,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(kind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perseverance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importunity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supplication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importunity,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[accompanied</w:t>
        <w:br w:type="textWrapping"/>
        <w:t xml:space="preserve">with, i.e. exemplified by 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supplication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concerning all the saints;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 and (and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brings into prominence a particular included</w:t>
        <w:br w:type="textWrapping"/>
        <w:t xml:space="preserve">in the general description)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for me, that there</w:t>
        <w:br w:type="textWrapping"/>
        <w:t xml:space="preserve">may be given me utterance, in the opening</w:t>
        <w:br w:type="textWrapping"/>
        <w:t xml:space="preserve">of my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(many renderings have been.</w:t>
        <w:br w:type="textWrapping"/>
        <w:t xml:space="preserve">proposed. The words must be joined with</w:t>
        <w:br w:type="textWrapping"/>
        <w:t xml:space="preserve">the preceding, not with the following, as</w:t>
        <w:br w:type="textWrapping"/>
        <w:t xml:space="preserve">in the A. V., which would [see below] be too</w:t>
        <w:br w:type="textWrapping"/>
        <w:t xml:space="preserve">tame and prosaic for the solemnity of the</w:t>
        <w:br w:type="textWrapping"/>
        <w:t xml:space="preserve">passage. The best rendering is,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[at]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opening of my mouth,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i.e. ‘when I</w:t>
        <w:br w:type="textWrapping"/>
        <w:t xml:space="preserve">undertake to speak:’ thus we keep the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opening the mouth,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Matt.</w:t>
        <w:br w:type="textWrapping"/>
        <w:t xml:space="preserve">v. 2; Acts viii. 35; x. 34; also Job iii. 1;</w:t>
        <w:br w:type="textWrapping"/>
        <w:t xml:space="preserve">Dan. x. 16, which always carries some</w:t>
        <w:br w:type="textWrapping"/>
        <w:t xml:space="preserve">solemnity of subject or occasion with it),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boldness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(freedom of speech)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make</w:t>
        <w:br w:type="textWrapping"/>
        <w:t xml:space="preserve">known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purpose of the gift)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mystery of the gospel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(contained in the gospel:</w:t>
        <w:br w:type="textWrapping"/>
        <w:t xml:space="preserve">subjective genitive. The mystery of the</w:t>
        <w:br w:type="textWrapping"/>
        <w:t xml:space="preserve">gospel),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on behalf of which I</w:t>
        <w:br w:type="textWrapping"/>
        <w:t xml:space="preserve">am an ambassador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Christ: to whom,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understood: we need not supply,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court of Rome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chains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(Wetst. remarks,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ambassador in chains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an unknown</w:t>
        <w:br w:type="textWrapping"/>
        <w:t xml:space="preserve">thing, ambassadors being, by the law of</w:t>
        <w:br w:type="textWrapping"/>
        <w:t xml:space="preserve">nations, inviolable. His being thus a captive ambassador, was all the more reason</w:t>
        <w:br w:type="textWrapping"/>
        <w:t xml:space="preserve">why they should pray earnestly that he</w:t>
        <w:br w:type="textWrapping"/>
        <w:t xml:space="preserve">might have boldness, &amp;c.)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that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A1HR2lEXh00wce0q9C5roFblQ==">CgMxLjA4AHIhMVJlcHowdGZFYUh4aHBGYV9VYzJfbDYydFV3VWo4RVc4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