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tenderness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bowels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affectionate emotion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general: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compassions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compassionate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emotions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particular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.—I may remark, that the exhortation being</w:t>
        <w:br w:type="textWrapping"/>
        <w:t xml:space="preserve">addressed to the Philippians,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there</w:t>
        <w:br w:type="textWrapping"/>
        <w:t xml:space="preserve">be 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to be taken subjectively—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there</w:t>
        <w:br w:type="textWrapping"/>
        <w:t xml:space="preserve">be with you any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&amp;c.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2.] make....</w:t>
        <w:br w:type="textWrapping"/>
        <w:t xml:space="preserve">full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the emphasis—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already had joy</w:t>
        <w:br w:type="textWrapping"/>
        <w:t xml:space="preserve">in them, but it was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complete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</w:t>
        <w:br w:type="textWrapping"/>
        <w:t xml:space="preserve">they did not walk in perfect unity:’ com,</w:t>
        <w:br w:type="textWrapping"/>
        <w:t xml:space="preserve">ch. i. 9).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of the same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more general than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‘being of one mind’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below. And this is all that can be reasonably said of the difference between them. In</w:t>
        <w:br w:type="textWrapping"/>
        <w:t xml:space="preserve">the more fervid portions of such an Epistle</w:t>
        <w:br w:type="textWrapping"/>
        <w:t xml:space="preserve">as this, we must be prepared for something</w:t>
        <w:br w:type="textWrapping"/>
        <w:t xml:space="preserve">very nearly approaching to tautology. “It is</w:t>
        <w:br w:type="textWrapping"/>
        <w:t xml:space="preserve">astonishing,” says Chrysostom, “how often</w:t>
        <w:br w:type="textWrapping"/>
        <w:t xml:space="preserve">he repeats the same thing, from his exceeding earnestness”).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the</w:t>
        <w:br w:type="textWrapping"/>
        <w:t xml:space="preserve">same love]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“i.e. equally loving and being</w:t>
        <w:br w:type="textWrapping"/>
        <w:t xml:space="preserve">loved,” Chrysostom.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united</w:t>
        <w:br w:type="textWrapping"/>
        <w:t xml:space="preserve">souls being of one mind]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taken together as one designation only: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</w:t>
        <w:br w:type="textWrapping"/>
        <w:t xml:space="preserve">union of soul unanimous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(minding one</w:t>
        <w:br w:type="textWrapping"/>
        <w:t xml:space="preserve">thing).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entertaining no thought</w:t>
        <w:br w:type="textWrapping"/>
        <w:t xml:space="preserve">in a spirit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(according to, after the</w:t>
        <w:br w:type="textWrapping"/>
        <w:t xml:space="preserve">manner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self-seeking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note, Rom. ii. 8,</w:t>
        <w:br w:type="textWrapping"/>
        <w:t xml:space="preserve">on the common mistaken rendering of this</w:t>
        <w:br w:type="textWrapping"/>
        <w:t xml:space="preserve">word)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none in a spirit of vain-glory; but</w:t>
        <w:br w:type="textWrapping"/>
        <w:t xml:space="preserve">through your lowliness of 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(assuming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lowliness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 Christian grace which you</w:t>
        <w:br w:type="textWrapping"/>
        <w:t xml:space="preserve">possess. And it is this lowliness, thus existing already in you, which leads you to</w:t>
        <w:br w:type="textWrapping"/>
        <w:t xml:space="preserve">the estimate recommended. In the A. V.</w:t>
        <w:br w:type="textWrapping"/>
        <w:t xml:space="preserve">this fine point is lost, and the lowliness of</w:t>
        <w:br w:type="textWrapping"/>
        <w:t xml:space="preserve">mind appears as if it were the grace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recommended,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instead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assumed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esteeming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one another superior to yourselves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</w:t>
        <w:br w:type="textWrapping"/>
        <w:t xml:space="preserve">each man his neighbour better than</w:t>
        <w:br w:type="textWrapping"/>
        <w:t xml:space="preserve">himself).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4.] Each regarding not</w:t>
        <w:br w:type="textWrapping"/>
        <w:t xml:space="preserve">their own matters but each also the</w:t>
        <w:br w:type="textWrapping"/>
        <w:t xml:space="preserve">matters of others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(“this second clause</w:t>
        <w:br w:type="textWrapping"/>
        <w:t xml:space="preserve">[Mey.] is a feebler contrast than might</w:t>
        <w:br w:type="textWrapping"/>
        <w:t xml:space="preserve">have been expected after the absolute</w:t>
        <w:br w:type="textWrapping"/>
        <w:t xml:space="preserve">negation in the first.”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also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shews that</w:t>
        <w:br w:type="textWrapping"/>
        <w:t xml:space="preserve">that first is to be taken with some allowance, for by our very nature, each man</w:t>
        <w:br w:type="textWrapping"/>
        <w:t xml:space="preserve">must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look on his own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some measure).—On the nature of the strife in the</w:t>
        <w:br w:type="textWrapping"/>
        <w:t xml:space="preserve">Philippian Church, as shewn by the exhortations here, see Introduction, § ii. 7.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5—11.]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exhortation enforced, by</w:t>
        <w:br w:type="textWrapping"/>
        <w:t xml:space="preserve">the example of the self-denial of Christ</w:t>
        <w:br w:type="textWrapping"/>
        <w:t xml:space="preserve">Jesus.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5.] Think this in yourselves, which was also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(the mind)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  <w:br w:type="textWrapping"/>
        <w:t xml:space="preserve">Christ Jesus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(it is disputed whether this is</w:t>
        <w:br w:type="textWrapping"/>
        <w:t xml:space="preserve">said of the Son of God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</w:t>
        <w:br w:type="textWrapping"/>
        <w:t xml:space="preserve">Incarnation. See below. I assume now,</w:t>
        <w:br w:type="textWrapping"/>
        <w:t xml:space="preserve">and will presently endeavour to prove, that</w:t>
        <w:br w:type="textWrapping"/>
        <w:t xml:space="preserve">the Apostle’s reference is first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taking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 him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our humanity, and then to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further humiliation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that humanity):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6.] who, subsisting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(originally.</w:t>
        <w:br w:type="textWrapping"/>
        <w:t xml:space="preserve">Less cannot be implied in this word than</w:t>
        <w:br w:type="textWrapping"/>
        <w:t xml:space="preserve">eternal præ-existence. The participle is</w:t>
        <w:br w:type="textWrapping"/>
        <w:t xml:space="preserve">hardly equivalent to “although he subsisted,” still less “inasmuch as he subsisted;” but simply states its fact as a link</w:t>
        <w:br w:type="textWrapping"/>
        <w:t xml:space="preserve">in the logical chain, “subsisting as He did;”</w:t>
        <w:br w:type="textWrapping"/>
        <w:t xml:space="preserve">without fixing the character of that link as</w:t>
        <w:br w:type="textWrapping"/>
        <w:t xml:space="preserve">causal or concessive)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in the form of God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 merely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nature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God, which however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implied: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but, as in Heb. i. 3,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“brightness of God’s glory and the express</w:t>
        <w:br w:type="textWrapping"/>
        <w:t xml:space="preserve">image of His person:”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compare John v. 37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4c0h+4ojbFZ26guLVs+pe4SM/g==">CgMxLjA4AHIhMW80Q182VXhzOG90Q3FESlU0RUY3czRKZHR3bmhtRXBs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