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xvii. 5. “The divine nature had an</w:t>
        <w:br w:type="textWrapping"/>
        <w:t xml:space="preserve">infinite beauty in itself, even without any</w:t>
        <w:br w:type="textWrapping"/>
        <w:t xml:space="preserve">creature to look on it.” Bengel. See also</w:t>
        <w:br w:type="textWrapping"/>
        <w:t xml:space="preserve">Col.i.15; 2Cor.iv. 4. That the divine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nature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Christ is not here meant, is clear:</w:t>
        <w:br w:type="textWrapping"/>
        <w:t xml:space="preserve">for He did not with reference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empty</w:t>
        <w:br w:type="textWrapping"/>
        <w:t xml:space="preserve">Himself,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ver. 7),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deemed not his equality</w:t>
        <w:br w:type="textWrapping"/>
        <w:t xml:space="preserve">with God a matter for grasping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(on the</w:t>
        <w:br w:type="textWrapping"/>
        <w:t xml:space="preserve">difficulty of the rendering, and the reasons</w:t>
        <w:br w:type="textWrapping"/>
        <w:t xml:space="preserve">for pressing that here adopted, see in my</w:t>
        <w:br w:type="textWrapping"/>
        <w:t xml:space="preserve">Greek Test.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meaning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plain enough.</w:t>
        <w:br w:type="textWrapping"/>
        <w:t xml:space="preserve">Our Lord possessed equality with God.</w:t>
        <w:br w:type="textWrapping"/>
        <w:t xml:space="preserve">In “the mind which was in Him, He</w:t>
        <w:br w:type="textWrapping"/>
        <w:t xml:space="preserve">regarded not this His equality a thing to</w:t>
        <w:br w:type="textWrapping"/>
        <w:t xml:space="preserve">be grasped at by Him, so as to hold it firm</w:t>
        <w:br w:type="textWrapping"/>
        <w:t xml:space="preserve">for Himself, but” &amp;c. We have now to</w:t>
        <w:br w:type="textWrapping"/>
        <w:t xml:space="preserve">enquire, whether the opening of the passage</w:t>
        <w:br w:type="textWrapping"/>
        <w:t xml:space="preserve">will bear to be understood of our Lord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already incarnate.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 Wette and others</w:t>
        <w:br w:type="textWrapping"/>
        <w:t xml:space="preserve">have maintained that the name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Christ Jesus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cannot apply to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Him before His Incarnation.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the answer to this is easy, viz.</w:t>
        <w:br w:type="textWrapping"/>
        <w:t xml:space="preserve">that that name applies to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entire historical Person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our Lord, of whom the</w:t>
        <w:br w:type="textWrapping"/>
        <w:t xml:space="preserve">whole passage is said, and not merely to</w:t>
        <w:br w:type="textWrapping"/>
        <w:t xml:space="preserve">Him in his pre-existent state. That one</w:t>
        <w:br w:type="textWrapping"/>
        <w:t xml:space="preserve">and the same person of the Son of God,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“existing in the form of God,”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afterwards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“became in the likeness of men,”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gathering</w:t>
        <w:br w:type="textWrapping"/>
        <w:t xml:space="preserve">to itself the humanity, in virtue of which</w:t>
        <w:br w:type="textWrapping"/>
        <w:t xml:space="preserve">Heis now designated in the concrete, Christ</w:t>
        <w:br w:type="textWrapping"/>
        <w:t xml:space="preserve">Jesus. The dispute seems to me to be</w:t>
        <w:br w:type="textWrapping"/>
        <w:t xml:space="preserve">satisfactorily settled by the contrast between the two clauses just quoted. These</w:t>
        <w:br w:type="textWrapping"/>
        <w:t xml:space="preserve">two cannot belong to Christ in the same incarnate state. Therefore the former of them</w:t>
        <w:br w:type="textWrapping"/>
        <w:t xml:space="preserve">must refer to his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pr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-incarnate state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7.] but emptied 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the</w:t>
        <w:br w:type="textWrapping"/>
        <w:t xml:space="preserve">emphatic word,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not the verb.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—He not</w:t>
        <w:br w:type="textWrapping"/>
        <w:t xml:space="preserve">only did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enrich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himself, but 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emptied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:—He used His equality</w:t>
        <w:br w:type="textWrapping"/>
        <w:t xml:space="preserve">with God as an opportunity, not for self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exaltation, but for self-abasement. And</w:t>
        <w:br w:type="textWrapping"/>
        <w:t xml:space="preserve">the word simply and literally means,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emptied.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emptied Himself of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form of God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[not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essential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glory,</w:t>
        <w:br w:type="textWrapping"/>
        <w:t xml:space="preserve">but its manifested possession: see on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words above: the glory which He had</w:t>
        <w:br w:type="textWrapping"/>
        <w:t xml:space="preserve">with the Father before the world began,</w:t>
        <w:br w:type="textWrapping"/>
        <w:t xml:space="preserve">John xvii. 5, and which He resumed at</w:t>
        <w:br w:type="textWrapping"/>
        <w:t xml:space="preserve">His glorification]—He ceased, while in</w:t>
        <w:br w:type="textWrapping"/>
        <w:t xml:space="preserve">this state of exinanition, to reflect the</w:t>
        <w:br w:type="textWrapping"/>
        <w:t xml:space="preserve">glory which He had with the Father),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[by] taking the form of a servant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(specification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method in which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He emptied</w:t>
        <w:br w:type="textWrapping"/>
        <w:t xml:space="preserve">Himself. The term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servant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contrasted</w:t>
        <w:br w:type="textWrapping"/>
        <w:t xml:space="preserve">with ‘equality with God’—and imports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‘a</w:t>
        <w:br w:type="textWrapping"/>
        <w:t xml:space="preserve">servant of God,’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—not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 servant generally,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nor a servant of man and God. And this</w:t>
        <w:br w:type="textWrapping"/>
        <w:t xml:space="preserve">state, of 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servant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God, is further defined by what follows)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being made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(by birth</w:t>
        <w:br w:type="textWrapping"/>
        <w:t xml:space="preserve">into the world,—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‘becoming’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in the likeness</w:t>
        <w:br w:type="textWrapping"/>
        <w:t xml:space="preserve">of men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(compare Rom. viii. 3. He was not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 man pure and simple, and nothing else,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but the Son of God manifest in the flesh</w:t>
        <w:br w:type="textWrapping"/>
        <w:t xml:space="preserve">and nature of men. The expression,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</w:t>
        <w:br w:type="textWrapping"/>
        <w:t xml:space="preserve">the likeness,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forcible, in giving another</w:t>
        <w:br w:type="textWrapping"/>
        <w:t xml:space="preserve">subordinate specification, viz. that He was</w:t>
        <w:br w:type="textWrapping"/>
        <w:t xml:space="preserve">made in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like form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men,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who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are servants of God)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8.]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 term,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being</w:t>
        <w:br w:type="textWrapping"/>
        <w:t xml:space="preserve">found,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serves to denote the taking up afresh</w:t>
        <w:br w:type="textWrapping"/>
        <w:t xml:space="preserve">of the subject, and introducing a new portion of the history. Hitherto of the act of</w:t>
        <w:br w:type="textWrapping"/>
        <w:t xml:space="preserve">laying aside the form of God, specified to</w:t>
        <w:br w:type="textWrapping"/>
        <w:t xml:space="preserve">have consisted in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taking the form of a</w:t>
        <w:br w:type="textWrapping"/>
        <w:t xml:space="preserve">servant,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being made in the likeness of</w:t>
        <w:br w:type="textWrapping"/>
        <w:t xml:space="preserve">men.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But now we take Him up again,</w:t>
        <w:br w:type="textWrapping"/>
        <w:t xml:space="preserve">this having past; we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Him in his human</w:t>
        <w:br w:type="textWrapping"/>
        <w:t xml:space="preserve">appearance—and what, then? we have further acts of self-humiliation to relate):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br w:type="textWrapping"/>
        <w:t xml:space="preserve">and when He was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(having been)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found</w:t>
        <w:br w:type="textWrapping"/>
        <w:t xml:space="preserve">in habit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(guise, outward semblance; e.g.</w:t>
        <w:br w:type="textWrapping"/>
        <w:t xml:space="preserve">of look, and dress, and speech. The term</w:t>
        <w:br w:type="textWrapping"/>
        <w:t xml:space="preserve">is a more specific repetition of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the</w:t>
        <w:br w:type="textWrapping"/>
        <w:t xml:space="preserve">likeness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above: and is here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emphatic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  <w:br w:type="textWrapping"/>
        <w:t xml:space="preserve">‘being found in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habit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&amp;c.—He did not</w:t>
        <w:br w:type="textWrapping"/>
        <w:t xml:space="preserve">stop with this outward semblance, but.</w:t>
        <w:br w:type="textWrapping"/>
        <w:t xml:space="preserve">....)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as a man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(for He was not a man,</w:t>
        <w:br w:type="textWrapping"/>
        <w:t xml:space="preserve">but God [in Person], with the humanity</w:t>
        <w:br w:type="textWrapping"/>
        <w:t xml:space="preserve">taken on him: 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 man: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for this</w:t>
        <w:br w:type="textWrapping"/>
        <w:t xml:space="preserve">was the nature which He took up into</w:t>
        <w:br w:type="textWrapping"/>
        <w:t xml:space="preserve">Him: He himself was not this, but He</w:t>
        <w:br w:type="textWrapping"/>
        <w:t xml:space="preserve">put this on.’ Theodoret),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He humbled</w:t>
        <w:br w:type="textWrapping"/>
        <w:t xml:space="preserve">himself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(in His humanity: a further act</w:t>
        <w:br w:type="textWrapping"/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AiAQaazz1n90F0uc//0AU45kDw==">CgMxLjA4AHIhMXduNjFXZUFTNlRndVBnbU9CcnZJUkVSd2M5dXVBQzRh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