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pouring out of my blood is by no means</w:t>
        <w:br w:type="textWrapping"/>
        <w:t xml:space="preserve">certain, for I hope to hear news of you</w:t>
        <w:br w:type="textWrapping"/>
        <w:t xml:space="preserve">soon, nay, to see you myself.’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Lord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‘my hope is not an</w:t>
        <w:br w:type="textWrapping"/>
        <w:t xml:space="preserve">idle one, as a worldly man’s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ight be; but</w:t>
        <w:br w:type="textWrapping"/>
        <w:t xml:space="preserve">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founded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faith in Christ.’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shortly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ver. 23.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‘as well</w:t>
        <w:br w:type="textWrapping"/>
        <w:t xml:space="preserve">as you, by your reception of news concerning me,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Reason why he would</w:t>
        <w:br w:type="textWrapping"/>
        <w:t xml:space="preserve">send Timothy above all others: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 have</w:t>
        <w:br w:type="textWrapping"/>
        <w:t xml:space="preserve">none else like-minded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myself, not</w:t>
        <w:br w:type="textWrapping"/>
        <w:t xml:space="preserve">with Timothy),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that kind, who)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 really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(emphatic:—with no secondary</w:t>
        <w:br w:type="textWrapping"/>
        <w:t xml:space="preserve">regards for himself, as in ver. 21)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care for</w:t>
        <w:br w:type="textWrapping"/>
        <w:t xml:space="preserve">your affairs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(have real anxiety about your</w:t>
        <w:br w:type="textWrapping"/>
        <w:t xml:space="preserve">matters, to order them for the best).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they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(my present companions:</w:t>
        <w:br w:type="textWrapping"/>
        <w:t xml:space="preserve">who these were, we know not: they are characterized, ch. 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21, merely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brethren who are with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”—certainly not Luke</w:t>
        <w:br w:type="textWrapping"/>
        <w:t xml:space="preserve">—whether Demas, in transition between</w:t>
        <w:br w:type="textWrapping"/>
        <w:t xml:space="preserve">Philem. 24 and 2 Tim. iv. 10, we cannot</w:t>
        <w:br w:type="textWrapping"/>
        <w:t xml:space="preserve">say)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seek their own matters, not those of</w:t>
        <w:br w:type="textWrapping"/>
        <w:t xml:space="preserve">Jesus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 weakening of the assertion</w:t>
        <w:br w:type="textWrapping"/>
        <w:t xml:space="preserve">must be thought of, as that of understand-</w:t>
        <w:br w:type="textWrapping"/>
        <w:t xml:space="preserve">ing the word all as hyperbolically put for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,—or understanding the assertion,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care more about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 than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.,—</w:t>
        <w:br w:type="textWrapping"/>
        <w:t xml:space="preserve">as many Commentators: nor must it be</w:t>
        <w:br w:type="textWrapping"/>
        <w:t xml:space="preserve">restricted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 of ease, &amp;c., unwillingness to undertake so long a journey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Chrysostom and others: both all and</w:t>
        <w:br w:type="textWrapping"/>
        <w:t xml:space="preserve">the assertion are absolute).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the approved worth of him ye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</w:t>
        <w:br w:type="textWrapping"/>
        <w:t xml:space="preserve">by trial, when we were at Philippi together,</w:t>
        <w:br w:type="textWrapping"/>
        <w:t xml:space="preserve">Acts xvi. 1, 3,—xvii. 14),—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viz.: that as a</w:t>
        <w:br w:type="textWrapping"/>
        <w:t xml:space="preserve">son (serveth) a father, he served with</w:t>
        <w:br w:type="textWrapping"/>
        <w:t xml:space="preserve">me for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construction is</w:t>
        <w:br w:type="textWrapping"/>
        <w:t xml:space="preserve">this: the Apostle would have written, ‘as</w:t>
        <w:br w:type="textWrapping"/>
        <w:t xml:space="preserve">a son a father, so he served me,’—but</w:t>
        <w:br w:type="textWrapping"/>
        <w:t xml:space="preserve">changes it to ‘so he served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me,’ from</w:t>
        <w:br w:type="textWrapping"/>
        <w:t xml:space="preserve">modesty and reverence, seeing that we are</w:t>
        <w:br w:type="textWrapping"/>
        <w:t xml:space="preserve">not servants one of another, but all of</w:t>
        <w:br w:type="textWrapping"/>
        <w:t xml:space="preserve">God, in the matter of the Gospel.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above, ver. 19.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well as Timothy.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25—30.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Epaphroditus : his mission:</w:t>
        <w:br w:type="textWrapping"/>
        <w:t xml:space="preserve">and recommendation of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Epaphroditus is not elsewhere mentioned. The</w:t>
        <w:br w:type="textWrapping"/>
        <w:t xml:space="preserve">name was a common one. There is perhaps no reason for supposing him identical</w:t>
        <w:br w:type="textWrapping"/>
        <w:t xml:space="preserve">with Epaphras (Col. i. 7; iv. 12. Philem.</w:t>
        <w:br w:type="textWrapping"/>
        <w:t xml:space="preserve">23), who was a minister of the Colossian</w:t>
        <w:br w:type="textWrapping"/>
        <w:t xml:space="preserve">church.—We must not attempt to give</w:t>
        <w:br w:type="textWrapping"/>
        <w:t xml:space="preserve">a strict official meaning to each of the</w:t>
        <w:br w:type="textWrapping"/>
        <w:t xml:space="preserve">words predicated of Epaphroditus. The</w:t>
        <w:br w:type="textWrapping"/>
        <w:t xml:space="preserve">accumulation of them serves to give him</w:t>
        <w:br w:type="textWrapping"/>
        <w:t xml:space="preserve">greater recommendation in the eyes of the</w:t>
        <w:br w:type="textWrapping"/>
        <w:t xml:space="preserve">Philippians.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 to send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was</w:t>
        <w:br w:type="textWrapping"/>
        <w:t xml:space="preserve">actually a sending back, though not so</w:t>
        <w:br w:type="textWrapping"/>
        <w:t xml:space="preserve">expressed here: see ch. iv. 18. The term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fellow-soldier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applies to the combat with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SGOj2UAIagobIT/69pXNRqDY8A==">CgMxLjA4AHIhMWRHUDRIT1Ztc3JXZVBsWkduQk9tT2E4UG42MVVqaFFt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