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powers of darkness, in which the</w:t>
        <w:br w:type="textWrapping"/>
        <w:t xml:space="preserve">ministers of Christ are the leaders: see</w:t>
        <w:br w:type="textWrapping"/>
        <w:t xml:space="preserve">besides ref., 2 Tim. ii. 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—the contrast is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in the ordinary sense of</w:t>
        <w:br w:type="textWrapping"/>
        <w:t xml:space="preserve">apostle, in Rom. xi. 13,—but as in 2 Cor.</w:t>
        <w:br w:type="textWrapping"/>
        <w:t xml:space="preserve">viii. 23 (where see note).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Reason</w:t>
        <w:br w:type="textWrapping"/>
        <w:t xml:space="preserve">for the necessity. The past tense, imperfect,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longing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become true when</w:t>
        <w:br w:type="textWrapping"/>
        <w:t xml:space="preserve">they received the letter. His longing was</w:t>
        <w:br w:type="textWrapping"/>
        <w:t xml:space="preserve">then actually present: an English letter-writer would have said, “is longing.”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of heaviness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Whether there was any</w:t>
        <w:br w:type="textWrapping"/>
        <w:t xml:space="preserve">special reason, more than affection, which</w:t>
        <w:br w:type="textWrapping"/>
        <w:t xml:space="preserve">made Epaphroditus anxious to return on</w:t>
        <w:br w:type="textWrapping"/>
        <w:t xml:space="preserve">account of this, we cannot say.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sorrow upon 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if to his bonds</w:t>
        <w:br w:type="textWrapping"/>
        <w:t xml:space="preserve">had been added the loss of his friend,—</w:t>
        <w:br w:type="textWrapping"/>
        <w:t xml:space="preserve">“sorrow coming upon sorrow.” The second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his own distress in his</w:t>
        <w:br w:type="textWrapping"/>
        <w:t xml:space="preserve">imprisonment, so often implied in this</w:t>
        <w:br w:type="textWrapping"/>
        <w:t xml:space="preserve">Epistle: see Introd. § iii. 4, 5.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 may be the less sorrowful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one of the Apostle’s delicate touches of</w:t>
        <w:br w:type="textWrapping"/>
        <w:t xml:space="preserve">affection.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rejoiced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seeing Epaphroditus,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trouble would be thereby</w:t>
        <w:br w:type="textWrapping"/>
        <w:t xml:space="preserve">lessened.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accom-</w:t>
        <w:br w:type="textWrapping"/>
        <w:t xml:space="preserve">plishing the purpose just expressed. The</w:t>
        <w:br w:type="textWrapping"/>
        <w:t xml:space="preserve">stress is on the request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</w:t>
        <w:br w:type="textWrapping"/>
        <w:t xml:space="preserve">There certainly seems to be something</w:t>
        <w:br w:type="textWrapping"/>
        <w:t xml:space="preserve">behind respecting Epaphroditus, of which</w:t>
        <w:br w:type="textWrapping"/>
        <w:t xml:space="preserve">we are not informed. If extreme affection</w:t>
        <w:br w:type="textWrapping"/>
        <w:t xml:space="preserve">had been the sole ground of his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heaviness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such exhortation as this</w:t>
        <w:br w:type="textWrapping"/>
        <w:t xml:space="preserve">would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needed.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  <w:t xml:space="preserve">the 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 viz. of the Gospel,</w:t>
        <w:br w:type="textWrapping"/>
        <w:t xml:space="preserve">or of Christ (probably the original text</w:t>
        <w:br w:type="textWrapping"/>
        <w:t xml:space="preserve">had only,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;—part of which it</w:t>
        <w:br w:type="textWrapping"/>
        <w:t xml:space="preserve">was, to sustain the minister of the Gospel,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came nigh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incurred so serious and nearly fatal a sick-</w:t>
        <w:br w:type="textWrapping"/>
        <w:t xml:space="preserve">ness:—not to be understood, as Chrysostom and others do, of danger incurred by</w:t>
        <w:br w:type="textWrapping"/>
        <w:t xml:space="preserve">the hostility of the authorities.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he might fill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 Cor. xvi. 17)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your</w:t>
        <w:br w:type="textWrapping"/>
        <w:t xml:space="preserve">deficiency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on account of your absence)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ministration 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ministration was the contribution of money, which</w:t>
        <w:br w:type="textWrapping"/>
        <w:t xml:space="preserve">had been sent by Epaphroditus. The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deficiency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kind service was, their</w:t>
        <w:br w:type="textWrapping"/>
        <w:t xml:space="preserve">inability, through absence, to minister it</w:t>
        <w:br w:type="textWrapping"/>
        <w:t xml:space="preserve">to the Apostle themselves: and this Epaphroditus filled up, and in so doing risked</w:t>
        <w:br w:type="textWrapping"/>
        <w:t xml:space="preserve">his life in the way above hinted at, i.e. probably by too constant and watchful attendance on the Apostle. So that there is no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BzjTQvRYjSKxcmvBTuHCmZspw==">CgMxLjA4AHIhMWtydDZINGg1aU0yRjAtR212WFdQUHQ2RGExWC0xWEFF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