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as A. V.,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things)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be loss</w:t>
        <w:br w:type="textWrapping"/>
        <w:t xml:space="preserve">on account of the super-eminence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(above</w:t>
        <w:br w:type="textWrapping"/>
        <w:t xml:space="preserve">them all)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knowledge of Christ Jesus</w:t>
        <w:br w:type="textWrapping"/>
        <w:t xml:space="preserve">my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(“he calls Him his Lord to</w:t>
        <w:br w:type="textWrapping"/>
        <w:t xml:space="preserve">express the vehemence of his affection.”</w:t>
        <w:br w:type="textWrapping"/>
        <w:t xml:space="preserve">Calvin):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whose account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what manner</w:t>
        <w:br w:type="textWrapping"/>
        <w:t xml:space="preserve">on His account, is explained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suffered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(not, as A. V.,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 suffered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loss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ALL THINGS (now, emphatic and</w:t>
        <w:br w:type="textWrapping"/>
        <w:t xml:space="preserve">universal),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esteem them to be refuse,</w:t>
        <w:br w:type="textWrapping"/>
        <w:t xml:space="preserve">that I may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(by so disesteeming them: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gives the aim of what went before)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gain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as the rationalizing Grotius,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favour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 indeed, it is</w:t>
        <w:br w:type="textWrapping"/>
        <w:t xml:space="preserve">Christ Himself;—His perfect image, His</w:t>
        <w:br w:type="textWrapping"/>
        <w:t xml:space="preserve">glorious perfection, which he wishes to</w:t>
        <w:br w:type="textWrapping"/>
        <w:t xml:space="preserve">win. He has Him now, but not in full:</w:t>
        <w:br w:type="textWrapping"/>
        <w:t xml:space="preserve">this can only be when his course is finished,</w:t>
        <w:br w:type="textWrapping"/>
        <w:t xml:space="preserve">and to this time the next words allude),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be found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(now, and especially at His coming; see 2 Cor. v. 3)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(living and being, and included, in</w:t>
        <w:br w:type="textWrapping"/>
        <w:t xml:space="preserve">Him as my element),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having mine</w:t>
        <w:br w:type="textWrapping"/>
        <w:t xml:space="preserve">own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on ver. 6),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is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(arising from)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law, but that which</w:t>
        <w:br w:type="textWrapping"/>
        <w:t xml:space="preserve">is through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its medium)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faith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 we may render, “not having</w:t>
        <w:br w:type="textWrapping"/>
        <w:t xml:space="preserve">as my righteousness that righteousness</w:t>
        <w:br w:type="textWrapping"/>
        <w:t xml:space="preserve">which is of the law, but that which is</w:t>
        <w:br w:type="textWrapping"/>
        <w:t xml:space="preserve">through faith in Christ”),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righteousness which is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(answering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—as its source, see Eph. ii. 8)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 on my</w:t>
        <w:br w:type="textWrapping"/>
        <w:t xml:space="preserve">faith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(built on, grounded on, granted on</w:t>
        <w:br w:type="textWrapping"/>
        <w:t xml:space="preserve">condition of, my faith).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(aim and</w:t>
        <w:br w:type="textWrapping"/>
        <w:t xml:space="preserve">employment of this righteousness,—taking</w:t>
        <w:br w:type="textWrapping"/>
        <w:t xml:space="preserve">up again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excellency of the knowledge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ver. 8),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I may know Him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(know, in that fulness of experimental</w:t>
        <w:br w:type="textWrapping"/>
        <w:t xml:space="preserve">knowledge, which is only wrought by 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t xml:space="preserve">like 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equivalent 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is</w:t>
        <w:br w:type="textWrapping"/>
        <w:t xml:space="preserve">to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 additional: His Person, and</w:t>
        <w:br w:type="textWrapping"/>
        <w:t xml:space="preserve">...and...)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power of His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power by which He was</w:t>
        <w:br w:type="textWrapping"/>
        <w:t xml:space="preserve">raised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the power which His resurrection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exercises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believers—in assuring</w:t>
        <w:br w:type="textWrapping"/>
        <w:t xml:space="preserve">them of their justification, Rom. iv. 25;</w:t>
        <w:br w:type="textWrapping"/>
        <w:t xml:space="preserve">1 Cor. xv. 17 ;—mostly however here, from</w:t>
        <w:br w:type="textWrapping"/>
        <w:t xml:space="preserve">the context which goes on to speak of con-</w:t>
        <w:br w:type="textWrapping"/>
        <w:t xml:space="preserve">formity with His sufferings and death,—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raising them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,—compare Rom.</w:t>
        <w:br w:type="textWrapping"/>
        <w:t xml:space="preserve">vi. 4; Col. ii. 12),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participation</w:t>
        <w:br w:type="textWrapping"/>
        <w:t xml:space="preserve">of His sufferings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 is the necessitating</w:t>
        <w:br w:type="textWrapping"/>
        <w:t xml:space="preserve">condition of being brought under the power</w:t>
        <w:br w:type="textWrapping"/>
        <w:t xml:space="preserve">of His resurrection, see as above, and 2 Tim.</w:t>
        <w:br w:type="textWrapping"/>
        <w:t xml:space="preserve">ii. 11),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conformed to His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</w:t>
        <w:br w:type="textWrapping"/>
        <w:t xml:space="preserve">does not appear to me that St. Paul is</w:t>
        <w:br w:type="textWrapping"/>
        <w:t xml:space="preserve">here speaking, as Meyer and others maintain, of his imminent risk of a death of martyrdom, but that his meaning is general,</w:t>
        <w:br w:type="textWrapping"/>
        <w:t xml:space="preserve">applying to his whole course of suffering</w:t>
        <w:br w:type="textWrapping"/>
        <w:t xml:space="preserve">and self-denial, as indeed throughout the</w:t>
        <w:br w:type="textWrapping"/>
        <w:t xml:space="preserve">sentence. This conformity with Christ’s</w:t>
        <w:br w:type="textWrapping"/>
        <w:t xml:space="preserve">death was to take place by means of that</w:t>
        <w:br w:type="textWrapping"/>
        <w:t xml:space="preserve">perfect self-abjuration which he here asserts</w:t>
        <w:br w:type="textWrapping"/>
        <w:t xml:space="preserve">of himself—see Rom. viii. 29; 2 Cor. ii. 14;</w:t>
        <w:br w:type="textWrapping"/>
        <w:t xml:space="preserve">iv. 10 ff; 1 Cor. xv. 31, and especially</w:t>
        <w:br w:type="textWrapping"/>
        <w:t xml:space="preserve">Gal. ii. 20)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by any means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original expression is one used when</w:t>
        <w:br w:type="textWrapping"/>
        <w:t xml:space="preserve">an end is proposed, but failure is presumed to be possible. “ After all this,” says</w:t>
        <w:br w:type="textWrapping"/>
        <w:t xml:space="preserve">Chrysostom, “he is not yet confident, but</w:t>
        <w:br w:type="textWrapping"/>
        <w:t xml:space="preserve">speaks as elsewhere, ‘He that thinketh he</w:t>
        <w:br w:type="textWrapping"/>
        <w:t xml:space="preserve">standeth, let him take heed lest he fall?’</w:t>
        <w:br w:type="textWrapping"/>
        <w:t xml:space="preserve">and, ‘I fear lest having preached to others,</w:t>
        <w:br w:type="textWrapping"/>
        <w:t xml:space="preserve">I myself may become a castaway’ 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may</w:t>
        <w:br w:type="textWrapping"/>
        <w:t xml:space="preserve">attain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the sense, see Acts xxvi.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which alone, it is evident that it</w:t>
        <w:br w:type="textWrapping"/>
        <w:t xml:space="preserve">does not signify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ive until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some main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tain)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tSjH9rMEiMxTrMSS4IJLXYaE+w==">CgMxLjA4AHIhMUdmbjAtOGNQMEtCZjVYTktKV21SR1VoZlpXQlFhNmtj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