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Cor. xi. 9), but that mentioned below:</w:t>
        <w:br w:type="textWrapping"/>
        <w:t xml:space="preserve">see there.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church communicated</w:t>
        <w:br w:type="textWrapping"/>
        <w:t xml:space="preserve">with me as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account of giving</w:t>
        <w:br w:type="textWrapping"/>
        <w:t xml:space="preserve">and receiving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literally, i.e. every</w:t>
        <w:br w:type="textWrapping"/>
        <w:t xml:space="preserve">receipt being part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department</w:t>
        <w:br w:type="textWrapping"/>
        <w:t xml:space="preserve">of giving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side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such a reckoning, ye alone opened such</w:t>
        <w:br w:type="textWrapping"/>
        <w:t xml:space="preserve">an account with me. It is true the Philippians had all the giving, the Apostle</w:t>
        <w:br w:type="textWrapping"/>
        <w:t xml:space="preserve">all the receiving: the debtor side was</w:t>
        <w:br w:type="textWrapping"/>
        <w:t xml:space="preserve">vacant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account, the creditor side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this did not make it any the</w:t>
        <w:br w:type="textWrapping"/>
        <w:t xml:space="preserve">less an account of “giving-and-receiving,”</w:t>
        <w:br w:type="textWrapping"/>
        <w:t xml:space="preserve">categorically so called. This explanation</w:t>
        <w:br w:type="textWrapping"/>
        <w:t xml:space="preserve">is in my view far the most simple, and preferable to the almost universal one, that</w:t>
        <w:br w:type="textWrapping"/>
        <w:t xml:space="preserve">his creditor and their debtor side was that</w:t>
        <w:br w:type="textWrapping"/>
        <w:t xml:space="preserve">which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imparted to them:</w:t>
        <w:br w:type="textWrapping"/>
        <w:t xml:space="preserve">for the introduction of spiritual gifts does</w:t>
        <w:br w:type="textWrapping"/>
        <w:t xml:space="preserve">not belong to the context, and therefore</w:t>
        <w:br w:type="textWrapping"/>
        <w:t xml:space="preserve">disturbs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you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</w:t>
        <w:br w:type="textWrapping"/>
        <w:t xml:space="preserve">even in Thessalonica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was an early</w:t>
        <w:br w:type="textWrapping"/>
        <w:t xml:space="preserve">stage of 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departing from Macedonia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before the departure was consummated.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a reason for and proof of</w:t>
        <w:br w:type="textWrapping"/>
        <w:t xml:space="preserve">the former assertion—ye were the only</w:t>
        <w:br w:type="textWrapping"/>
        <w:t xml:space="preserve">ones, &amp;c.,—and ye began as early as when</w:t>
        <w:br w:type="textWrapping"/>
        <w:t xml:space="preserve">I was at Thessalonica)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sent both once</w:t>
        <w:br w:type="textWrapping"/>
        <w:t xml:space="preserve">and twice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the account of</w:t>
        <w:br w:type="textWrapping"/>
        <w:t xml:space="preserve">the expression being, that when the first</w:t>
        <w:br w:type="textWrapping"/>
        <w:t xml:space="preserve">arrived, they had 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when the</w:t>
        <w:br w:type="textWrapping"/>
        <w:t xml:space="preserve">second, not only once, but twice)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my necessity.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 he removes any</w:t>
        <w:br w:type="textWrapping"/>
        <w:t xml:space="preserve">chance of misunderstanding, as above in</w:t>
        <w:br w:type="textWrapping"/>
        <w:t xml:space="preserve">ver. 11. It was not for his own sake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for theirs that he rejoiced at their</w:t>
        <w:br w:type="textWrapping"/>
        <w:t xml:space="preserve">liberality, because it multiplied the fruits</w:t>
        <w:br w:type="textWrapping"/>
        <w:t xml:space="preserve">of their faith.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ver.</w:t>
        <w:br w:type="textWrapping"/>
        <w:t xml:space="preserve">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seek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(present, ‘it is my character</w:t>
        <w:br w:type="textWrapping"/>
        <w:t xml:space="preserve">to seek’)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case in question):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do seek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repetition of the verb</w:t>
        <w:br w:type="textWrapping"/>
        <w:t xml:space="preserve">is solemn and 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fruit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(thereby, in the case before 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aboundeth</w:t>
        <w:br w:type="textWrapping"/>
        <w:t xml:space="preserve">to your 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account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same expression,</w:t>
        <w:br w:type="textWrapping"/>
        <w:t xml:space="preserve">ver. 15—fruit,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day of the</w:t>
        <w:br w:type="textWrapping"/>
        <w:t xml:space="preserve">Lord, the result of your labour for me in</w:t>
        <w:br w:type="textWrapping"/>
        <w:t xml:space="preserve">the Lord).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(notwithstand-</w:t>
        <w:br w:type="textWrapping"/>
        <w:t xml:space="preserve">ing that the gift is not that which I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 have received it, and been sufficiently supplied by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</w:t>
        <w:br w:type="textWrapping"/>
        <w:t xml:space="preserve">—‘I have no more to ask from you, but</w:t>
        <w:br w:type="textWrapping"/>
        <w:t xml:space="preserve">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enough’)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(over and 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(repetition</w:t>
        <w:br w:type="textWrapping"/>
        <w:t xml:space="preserve">and intensification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  <w:br w:type="textWrapping"/>
        <w:t xml:space="preserve">received at the hands of Epaphroditus the</w:t>
        <w:br w:type="textWrapping"/>
        <w:t xml:space="preserve">remittance from you, a savour of fragrance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clause in apposition, expressing</w:t>
        <w:br w:type="textWrapping"/>
        <w:t xml:space="preserve">a judgment. On the expression, see Eph.</w:t>
        <w:br w:type="textWrapping"/>
        <w:t xml:space="preserve">v. 2,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sacrifice acceptable, well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pleasing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Heb. xiii. 16; 1 Pet.</w:t>
        <w:br w:type="textWrapping"/>
        <w:t xml:space="preserve">ii. 5).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assurance taken up</w:t>
        <w:br w:type="textWrapping"/>
        <w:t xml:space="preserve">from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he (St. Paul) was the receiver: this was his return to them: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God, who will pay back what is given to</w:t>
        <w:br w:type="textWrapping"/>
        <w:t xml:space="preserve">His servant.” Bengel.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fully</w:t>
        <w:br w:type="textWrapping"/>
        <w:t xml:space="preserve">supply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refers to vv. 16, 18;—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ye</w:t>
        <w:br w:type="textWrapping"/>
        <w:t xml:space="preserve">supplied my want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and not only in the department alluded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jUQE//6804Yqnfk9W9DApQvxw==">CgMxLjA4AHIhMTE2UDRoSGl5cEswQ2NTczk1U1hFNWVlSzBfa3FjSjI3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