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uncircumcision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</w:t>
        <w:br w:type="textWrapping"/>
        <w:t xml:space="preserve">which consisted 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having</w:t>
        <w:br w:type="textWrapping"/>
        <w:t xml:space="preserve">on you still your fleshly sinful nature, which</w:t>
        <w:br w:type="textWrapping"/>
        <w:t xml:space="preserve">now, as spiritual, you have put away),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(God—who, not Christ, is the subject of</w:t>
        <w:br w:type="textWrapping"/>
        <w:t xml:space="preserve">the whole sentence, vv. 13—15]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quickened</w:t>
        <w:br w:type="textWrapping"/>
        <w:t xml:space="preserve">you together with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(Christ: brought</w:t>
        <w:br w:type="textWrapping"/>
        <w:t xml:space="preserve">you up–objectively at His Resurrection,</w:t>
        <w:br w:type="textWrapping"/>
        <w:t xml:space="preserve">and subjectively when you were received</w:t>
        <w:br w:type="textWrapping"/>
        <w:t xml:space="preserve">among His people,—out of this death.</w:t>
        <w:br w:type="textWrapping"/>
        <w:t xml:space="preserve">The question as to the reference, whether</w:t>
        <w:br w:type="textWrapping"/>
        <w:t xml:space="preserve">to spiritual or physical resurrection, is</w:t>
        <w:br w:type="textWrapping"/>
        <w:t xml:space="preserve">answered by remembering that the former</w:t>
        <w:br w:type="textWrapping"/>
        <w:t xml:space="preserve">includes the latter),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forgiven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</w:t>
        <w:br w:type="textWrapping"/>
        <w:t xml:space="preserve">is not contemporaneous with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quickening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antecedent: this forgiveness was an</w:t>
        <w:br w:type="textWrapping"/>
        <w:t xml:space="preserve">act of God wrought once for all in Christ.</w:t>
        <w:br w:type="textWrapping"/>
        <w:t xml:space="preserve">See 2 Cor. v. 19; Eph. iv. 32)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 here</w:t>
        <w:br w:type="textWrapping"/>
        <w:t xml:space="preserve">passes from the particular to the general—</w:t>
        <w:br w:type="textWrapping"/>
        <w:t xml:space="preserve">from the Colossian Gentiles to all believers)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our transgressions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blotting</w:t>
        <w:br w:type="textWrapping"/>
        <w:t xml:space="preserve">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blotted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wiped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contemporary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forgiven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—in fact</w:t>
        <w:br w:type="textWrapping"/>
        <w:t xml:space="preserve">the same act explained in its conditions and</w:t>
        <w:br w:type="textWrapping"/>
        <w:t xml:space="preserve">details)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handwriting in decrees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(compare the similar expression Eph. ii. 15, and</w:t>
        <w:br w:type="textWrapping"/>
        <w:t xml:space="preserve">notes.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handwriting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represents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obligatory bond which was</w:t>
        <w:br w:type="textWrapping"/>
        <w:t xml:space="preserve">against us [see below], and is apparently</w:t>
        <w:br w:type="textWrapping"/>
        <w:t xml:space="preserve">used because the Decalogue, representing</w:t>
        <w:br w:type="textWrapping"/>
        <w:t xml:space="preserve">that law, was written on tables of stone</w:t>
        <w:br w:type="textWrapping"/>
        <w:t xml:space="preserve">with the finger of God. Respecting the</w:t>
        <w:br w:type="textWrapping"/>
        <w:t xml:space="preserve">various interpretations of it, see my Greek</w:t>
        <w:br w:type="textWrapping"/>
        <w:t xml:space="preserve">Test.)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was hostile to 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repetition of the sentiment already contained</w:t>
        <w:br w:type="textWrapping"/>
        <w:t xml:space="preserve">in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was against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seems</w:t>
        <w:br w:type="textWrapping"/>
        <w:t xml:space="preserve">to be made by way of stronger emphasis,</w:t>
        <w:br w:type="textWrapping"/>
        <w:t xml:space="preserve">as against the false teachers, reasserting</w:t>
        <w:br w:type="textWrapping"/>
        <w:t xml:space="preserve">and invigorating the fact that the law was</w:t>
        <w:br w:type="textWrapping"/>
        <w:t xml:space="preserve">no help, but a hindrance to us),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</w:t>
        <w:br w:type="textWrapping"/>
        <w:t xml:space="preserve">only so, but)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taken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handwriting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thus obliterated)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</w:t>
        <w:br w:type="textWrapping"/>
        <w:t xml:space="preserve">‘from out of the way’),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[by] nailing it to</w:t>
        <w:br w:type="textWrapping"/>
        <w:t xml:space="preserve">the cross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(“since by the death of Christ on</w:t>
        <w:br w:type="textWrapping"/>
        <w:t xml:space="preserve">the cross the condemnatory law ost its</w:t>
        <w:br w:type="textWrapping"/>
        <w:t xml:space="preserve">hold on us, inasmuch as Christ by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death bore the curse of the law for mankind [Gal. iii. 13],—in the fact of Christ</w:t>
        <w:br w:type="textWrapping"/>
        <w:t xml:space="preserve">being nailed to the Cross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nailed thereon, in so far as, by Christ’s</w:t>
        <w:br w:type="textWrapping"/>
        <w:t xml:space="preserve">crucifixion, it lost its obligatory power and</w:t>
        <w:br w:type="textWrapping"/>
        <w:t xml:space="preserve">ceased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our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Meyer).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utmost care must be taken to</w:t>
        <w:br w:type="textWrapping"/>
        <w:t xml:space="preserve">interpret this verse according to the requirements of grammar and of the context.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me to necessitate the</w:t>
        <w:br w:type="textWrapping"/>
        <w:t xml:space="preserve">rendering, not, as the great majority of</w:t>
        <w:br w:type="textWrapping"/>
        <w:t xml:space="preserve">Commentators,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spoiled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 meaning unexampled, and precluded by the</w:t>
        <w:br w:type="textWrapping"/>
        <w:t xml:space="preserve">plain usage, by the Apostle himself, a</w:t>
        <w:br w:type="textWrapping"/>
        <w:t xml:space="preserve">few verses below, ch. iii. 9, of the same</w:t>
        <w:br w:type="textWrapping"/>
        <w:t xml:space="preserve">word,—but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stripped 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divested</w:t>
        <w:br w:type="textWrapping"/>
        <w:t xml:space="preserve">himself of.’ Then the second must guide</w:t>
        <w:br w:type="textWrapping"/>
        <w:t xml:space="preserve">us to the meaning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principalities</w:t>
        <w:br w:type="textWrapping"/>
        <w:t xml:space="preserve">and the 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Most Commentators</w:t>
        <w:br w:type="textWrapping"/>
        <w:t xml:space="preserve">have at once assumed these to be tho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infernal 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relying on Eph. vi. 12, where undoubtedly</w:t>
        <w:br w:type="textWrapping"/>
        <w:t xml:space="preserve">such is the specific reference of these general terms. But the terms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such specific reference must be determined</w:t>
        <w:br w:type="textWrapping"/>
        <w:t xml:space="preserve">by the context of each passage,—or, indeed, there may be no such specific re-</w:t>
        <w:br w:type="textWrapping"/>
        <w:t xml:space="preserve">ference at all, but they may be used in</w:t>
        <w:br w:type="textWrapping"/>
        <w:t xml:space="preserve">their fullest general sense. Now the words</w:t>
        <w:br w:type="textWrapping"/>
        <w:t xml:space="preserve">have occurred before in this very passage,</w:t>
        <w:br w:type="textWrapping"/>
        <w:t xml:space="preserve">ver. 10, where Christ is exalted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head of all principality and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</w:t>
        <w:br w:type="textWrapping"/>
        <w:t xml:space="preserve">it is hardly possible to avoid connecting our</w:t>
        <w:br w:type="textWrapping"/>
        <w:t xml:space="preserve">present expression with that,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</w:t>
        <w:br w:type="textWrapping"/>
        <w:t xml:space="preserve">in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principalities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the articles seem to contain a manifest</w:t>
        <w:br w:type="textWrapping"/>
        <w:t xml:space="preserve">reference to it. Now, what is the context?</w:t>
        <w:br w:type="textWrapping"/>
        <w:t xml:space="preserve">Is it in any way relevant to the fact of the</w:t>
        <w:br w:type="textWrapping"/>
        <w:t xml:space="preserve">law being superseded by God in the great</w:t>
        <w:br w:type="textWrapping"/>
        <w:t xml:space="preserve">Sacrifice of the atonement, to say that He,</w:t>
        <w:br w:type="textWrapping"/>
        <w:t xml:space="preserve">in that act (or, according to others, Christ</w:t>
        <w:br w:type="textWrapping"/>
        <w:t xml:space="preserve">in that act), spoiled and triumphed over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infernal potentates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Or would the</w:t>
        <w:br w:type="textWrapping"/>
        <w:t xml:space="preserve">following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deduce any legitimate inference from such a fact? But,</w:t>
        <w:br w:type="textWrapping"/>
        <w:t xml:space="preserve">suppose the matter to stand in this way.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Ib2HEaW2ZkkhUIT/RxQApj8vfQ==">CgMxLjA4AHIhMU1sQ2REbklDTWl0NUVIMWNiWmxobXpPTUNxZ3NKbUdl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