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please God in your walk and conduct:</w:t>
        <w:br w:type="textWrapping"/>
        <w:t xml:space="preserve">—to walk, and thereby to please God),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 also ye are walking, that ye</w:t>
        <w:br w:type="textWrapping"/>
        <w:t xml:space="preserve">abound yet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thus walking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takes up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ye received of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former verse, and appeals to</w:t>
        <w:br w:type="textWrapping"/>
        <w:t xml:space="preserve">their memory in its confirmation. See</w:t>
        <w:br w:type="textWrapping"/>
        <w:t xml:space="preserve">similar appeals in Gal. iv.13; 1 Cor. xv. 1.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Lord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</w:t>
        <w:br w:type="textWrapping"/>
        <w:t xml:space="preserve">from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His order and appoint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Further specification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these</w:t>
        <w:br w:type="textWrapping"/>
        <w:t xml:space="preserve">commands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above.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will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serve to take up again the preceding</w:t>
        <w:br w:type="textWrapping"/>
        <w:t xml:space="preserve">assertion that the commandments were</w:t>
        <w:br w:type="textWrapping"/>
        <w:t xml:space="preserve">given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Lord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</w:t>
        <w:br w:type="textWrapping"/>
        <w:t xml:space="preserve">sanctification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in apposition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will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 matter patent to all, the</w:t>
        <w:br w:type="textWrapping"/>
        <w:t xml:space="preserve">will of God respecting us being known to</w:t>
        <w:br w:type="textWrapping"/>
        <w:t xml:space="preserve">be, our sanctification, and then this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sanctification being afterwards specified as</w:t>
        <w:br w:type="textWrapping"/>
        <w:t xml:space="preserve">consisting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abstinence from fornication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Therefore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sanctification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 be taken in</w:t>
        <w:br w:type="textWrapping"/>
        <w:t xml:space="preserve">the most general sense, and that which is</w:t>
        <w:br w:type="textWrapping"/>
        <w:t xml:space="preserve">afterwards introduced, as forming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sanctification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sanctification of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On the meaning of the expression,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own vessel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there has been much</w:t>
        <w:br w:type="textWrapping"/>
        <w:t xml:space="preserve">difference. Very many Commentators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 it of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But it is fatal</w:t>
        <w:br w:type="textWrapping"/>
        <w:t xml:space="preserve">to this interpretation, (1) that it must</w:t>
        <w:br w:type="textWrapping"/>
        <w:t xml:space="preserve">force an untenable meaning on the pre-</w:t>
        <w:br w:type="textWrapping"/>
        <w:t xml:space="preserve">ceding verb, which can only mean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acquire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not, as in A. V.,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possess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  <w:br w:type="textWrapping"/>
        <w:t xml:space="preserve">Chrysostom, whose sense of Greek usage</w:t>
        <w:br w:type="textWrapping"/>
        <w:t xml:space="preserve">led him to feel this, tries to fit the mean-</w:t>
        <w:br w:type="textWrapping"/>
        <w:t xml:space="preserve">ing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acquire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into the sense: saying,</w:t>
        <w:br w:type="textWrapping"/>
        <w:t xml:space="preserve">“We do really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body, when it</w:t>
        <w:br w:type="textWrapping"/>
        <w:t xml:space="preserve">remains pure, and is in sanctification ” (so</w:t>
        <w:br w:type="textWrapping"/>
        <w:t xml:space="preserve">Dr. Vaughan also). But this is lame</w:t>
        <w:br w:type="textWrapping"/>
        <w:t xml:space="preserve">enough, and would not, as De Wette</w:t>
        <w:br w:type="textWrapping"/>
        <w:t xml:space="preserve">remarks, answer for the other member of</w:t>
        <w:br w:type="textWrapping"/>
        <w:t xml:space="preserve">the sentence,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in the lust of carnal</w:t>
        <w:br w:type="textWrapping"/>
        <w:t xml:space="preserve">desire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(2) That the mere use of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vessel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without any explanation, could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hardly point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all the passages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ordinarily quoted to support it, the</w:t>
        <w:br w:type="textWrapping"/>
        <w:t xml:space="preserve">metaphor is further explained by the context.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Cor. iv. 7 is evidently no case in</w:t>
        <w:br w:type="textWrapping"/>
        <w:t xml:space="preserve">point, the epithet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 there</w:t>
        <w:br w:type="textWrapping"/>
        <w:t xml:space="preserve">added, and the body being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pared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earthen vessel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(3) The order</w:t>
        <w:br w:type="textWrapping"/>
        <w:t xml:space="preserve">of the words in the original is against it, by</w:t>
        <w:br w:type="textWrapping"/>
        <w:t xml:space="preserve">which the whole stress is laid on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would be without meaning if</w:t>
        <w:br w:type="textWrapping"/>
        <w:t xml:space="preserve">“vessel” meant the body: for how could</w:t>
        <w:br w:type="textWrapping"/>
        <w:t xml:space="preserve">a 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another’s body? (4) But</w:t>
        <w:br w:type="textWrapping"/>
        <w:t xml:space="preserve">a more fatal objection than any of the</w:t>
        <w:br w:type="textWrapping"/>
        <w:t xml:space="preserve">former is, that the context is entirely</w:t>
        <w:br w:type="textWrapping"/>
        <w:t xml:space="preserve">against the meaning.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been explained to consist in abstaining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now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fornication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comes to be specified, wherein it consists,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how it may be guarded against :</w:t>
        <w:br w:type="textWrapping"/>
        <w:t xml:space="preserve">viz. in carrying on the divinely-appointed</w:t>
        <w:br w:type="textWrapping"/>
        <w:t xml:space="preserve">commerce of the sexes in holiness and</w:t>
        <w:br w:type="textWrapping"/>
        <w:t xml:space="preserve">honour. In fact, the thought is exactly</w:t>
        <w:br w:type="textWrapping"/>
        <w:t xml:space="preserve">as in 1 Cor. vii. 2,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of fornications,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each man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his own wife,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let each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her own husband.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 have therefore understood</w:t>
        <w:br w:type="textWrapping"/>
        <w:t xml:space="preserve">vessel in its literal meaning as applied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hand,—i.e.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 indeed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the other side,</w:t>
        <w:br w:type="textWrapping"/>
        <w:t xml:space="preserve">inasmuch as the woman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</w:t>
        <w:br w:type="textWrapping"/>
        <w:t xml:space="preserve">his body, see 1 Cor. vii. 4.—So that thus</w:t>
        <w:br w:type="textWrapping"/>
        <w:t xml:space="preserve">it would be an exhortation to the woman</w:t>
        <w:br w:type="textWrapping"/>
        <w:t xml:space="preserve">also). Thus the context would be satisfied,</w:t>
        <w:br w:type="textWrapping"/>
        <w:t xml:space="preserve">and the emphatic position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in 1 Cor. vii. 2);—and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acquire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re-</w:t>
        <w:br w:type="textWrapping"/>
        <w:t xml:space="preserve">tain its proper meaning: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each of you</w:t>
        <w:br w:type="textWrapping"/>
        <w:t xml:space="preserve">should know how to acquire his own</w:t>
        <w:br w:type="textWrapping"/>
        <w:t xml:space="preserve">vessel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this purpose)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sanctification</w:t>
        <w:br w:type="textWrapping"/>
        <w:t xml:space="preserve">and 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vessel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found</w:t>
        <w:br w:type="textWrapping"/>
        <w:t xml:space="preserve">in the Jewish books; and the verb rendered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was commonly used of</w:t>
        <w:br w:type="textWrapping"/>
        <w:t xml:space="preserve">taking a wife. This interpretation is that</w:t>
        <w:br w:type="textWrapping"/>
        <w:t xml:space="preserve">of some of the principal among the</w:t>
        <w:br w:type="textWrapping"/>
        <w:t xml:space="preserve">ancients, including Augustine, and of many</w:t>
        <w:br w:type="textWrapping"/>
        <w:t xml:space="preserve">of the principal moderns. The objection</w:t>
        <w:br w:type="textWrapping"/>
        <w:t xml:space="preserve">to it alleged by Calvin and others, that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BsmoDV75r4BQi9BQHuhzkT3dLw==">AMUW2mVZ165xtrPsrnk0gEBuispPat8Cv2SgHpSOzf3s8XsiZeFaqK0GOPTT/dPn9DxLDAAF2Y0PuwMuNsUX61STwbj1cuDCKe31RUw5YA+jtOX0DwAz/78=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