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calleth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that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bringing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 God’s office as the caller of His</w:t>
        <w:br w:type="textWrapping"/>
        <w:t xml:space="preserve">people: compare Gal. v. 8.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it, viz. that which was specified in the</w:t>
        <w:br w:type="textWrapping"/>
        <w:t xml:space="preserve">last verse.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25—28.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CONCLUSION.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</w:t>
        <w:br w:type="textWrapping"/>
        <w:t xml:space="preserve">this verse and the following, it would appear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this letter was given into the</w:t>
        <w:br w:type="textWrapping"/>
        <w:t xml:space="preserve">hands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meaning of this adjuration is,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an assembly</w:t>
        <w:br w:type="textWrapping"/>
        <w:t xml:space="preserve">of all the brethren should be held, and</w:t>
        <w:br w:type="textWrapping"/>
        <w:t xml:space="preserve">the Epistle then and there publicly read.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Jowett offers many solutions for the Apostle’s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vehemence of language. I should</w:t>
        <w:br w:type="textWrapping"/>
        <w:t xml:space="preserve">account for it, not by supposing any distrust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elders, nor by the other hypotheses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suggests, but by the</w:t>
        <w:br w:type="textWrapping"/>
        <w:t xml:space="preserve">earnestness of spirit incidental to the solemn</w:t>
        <w:br w:type="textWrapping"/>
        <w:t xml:space="preserve">conclusion of an Epistle of which he is</w:t>
        <w:br w:type="textWrapping"/>
        <w:t xml:space="preserve">conscious that it conveys to them the will</w:t>
        <w:br w:type="textWrapping"/>
        <w:t xml:space="preserve">and special word of the Lord.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i.e. in Thessalonica, assembled together.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2 Cor. xiii. 13.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4:14:28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4zH8CP81hH+MNNpJ4XitIIDcxA==">AMUW2mXTzk79qyaDJ6LEsC4d9HNGcWvxWNbmgJJFRapBIJvzQGTxFU1rlS25kDBhcOIjat8e+jtTKkRQ2+oVouC100/5mTTinW1oJwdf73xvaGxhpoqEK+WAA8zVxWu83J9+hXLYZFjtbeqW0ViLtiqT/1tcu0vzwqUqlSnQUCDiRYsRXrhOUmjM0v450ap8VtADI2Pn+QEQLVGO/NTR2gVO2K9QWFepReV1JMJvzimWoROS++GfG8rT/QCtgrhe1xOQR+RDySHmfWBrbh4SjOKrDrt4Hp5y6zZMEIWqnLZmrJcy5OhanRl3Lws8P82eVhgKxmjV1BmE0Io1Fi3bo7gQAB9rN+EGWWTmXju2v9nCVeM0DQQNW2oDc5ew1aWi+n7GwMQn2iL1D35+vF+gE8Xln0fnZ8VgJ3ur0OuwDKTpXo23ZqYYgEdGo07+zhB2oFSDIEg9Zrk1bRHf8LWEW1BVlVC136g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