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said that the judgment was come, and the</w:t>
        <w:br w:type="textWrapping"/>
        <w:t xml:space="preserve">presence of Christ, &amp;c., thus removing fear</w:t>
        <w:br w:type="textWrapping"/>
        <w:t xml:space="preserve">of retribution for the evil, and hope of</w:t>
        <w:br w:type="textWrapping"/>
        <w:t xml:space="preserve">reward for the good. And what was worst</w:t>
        <w:br w:type="textWrapping"/>
        <w:t xml:space="preserve">of all, some of them repeated sayings of</w:t>
        <w:br w:type="textWrapping"/>
        <w:t xml:space="preserve">Paul to this effect, some feigned Epistles</w:t>
        <w:br w:type="textWrapping"/>
        <w:t xml:space="preserve">as having been written by him”).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no man deceive you in any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only in either of the foregoing, but in</w:t>
        <w:br w:type="textWrapping"/>
        <w:t xml:space="preserve">any whatever):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day shall not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(so A. V. supplies, rightly. There</w:t>
        <w:br w:type="textWrapping"/>
        <w:t xml:space="preserve">does not seem to have been any intention</w:t>
        <w:br w:type="textWrapping"/>
        <w:t xml:space="preserve">on the part of the Apostle to fill up the</w:t>
        <w:br w:type="textWrapping"/>
        <w:t xml:space="preserve">ellipsis : it supplies itself in the reader’s</w:t>
        <w:br w:type="textWrapping"/>
        <w:t xml:space="preserve">mind),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unless there have come the apostasy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which he had told them when</w:t>
        <w:br w:type="textWrapping"/>
        <w:t xml:space="preserve">present, see ver. 5: and probably with a</w:t>
        <w:br w:type="textWrapping"/>
        <w:t xml:space="preserve">further reference still to our Lord’s prophecy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Matt. xxiv. 10—12),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there</w:t>
        <w:br w:type="textWrapping"/>
        <w:t xml:space="preserve">have been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i.7. As Christ in</w:t>
        <w:br w:type="textWrapping"/>
        <w:t xml:space="preserve">His time, so Antichrist in his time, is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‘revealed’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—brought out into light: he too is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unfolded and displayed:</w:t>
        <w:br w:type="textWrapping"/>
        <w:t xml:space="preserve">see vv. 8,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whom sin</w:t>
        <w:br w:type="textWrapping"/>
        <w:t xml:space="preserve">ig as it were personified, as righteousness</w:t>
        <w:br w:type="textWrapping"/>
        <w:t xml:space="preserve">in Christ.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called by</w:t>
        <w:br w:type="textWrapping"/>
        <w:t xml:space="preserve">Ellicott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predominating quality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Notice the variety,—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lawlessness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is the term used below, vv. 7,8),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</w:t>
        <w:br w:type="textWrapping"/>
        <w:t xml:space="preserve">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John xvii. 12, where our</w:t>
        <w:br w:type="textWrapping"/>
        <w:t xml:space="preserve">Lord uses the expression of Judas. It</w:t>
        <w:br w:type="textWrapping"/>
        <w:t xml:space="preserve">seems merely to refer to Antichrist himself,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 essence and inheritance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to his influence over others)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withstandeth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is</w:t>
        <w:br w:type="textWrapping"/>
        <w:t xml:space="preserve">absolute,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withstands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anti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-christ, 1 John ii.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exalteth</w:t>
        <w:br w:type="textWrapping"/>
        <w:t xml:space="preserve">himself above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a hostile sense)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every</w:t>
        <w:br w:type="textWrapping"/>
        <w:t xml:space="preserve">one that is called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a similar</w:t>
        <w:br w:type="textWrapping"/>
        <w:t xml:space="preserve">expression, 1 Cor. viii. 5. “The expression</w:t>
        <w:br w:type="textWrapping"/>
        <w:t xml:space="preserve">includes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God, as well as the false</w:t>
        <w:br w:type="textWrapping"/>
        <w:t xml:space="preserve">ones of the heathen—but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a natural addition from Christian caution,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would have been a senseless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indeed blasphemous expression for</w:t>
        <w:br w:type="textWrapping"/>
        <w:t xml:space="preserve">a Christian.” Lünemann),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an object of</w:t>
        <w:br w:type="textWrapping"/>
        <w:t xml:space="preserve">adoration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 the close parallel in</w:t>
        <w:br w:type="textWrapping"/>
        <w:t xml:space="preserve">Dan. xi. 36, 37. Notice, that the meaning</w:t>
        <w:br w:type="textWrapping"/>
        <w:t xml:space="preserve">of these words cannot by any probability be</w:t>
        <w:br w:type="textWrapping"/>
        <w:t xml:space="preserve">fulfilled by any one who, as the Pope,</w:t>
        <w:br w:type="textWrapping"/>
        <w:t xml:space="preserve">creates objects of worship, and thus (by</w:t>
        <w:br w:type="textWrapping"/>
        <w:t xml:space="preserve">inference merely) makes himself greater</w:t>
        <w:br w:type="textWrapping"/>
        <w:t xml:space="preserve">than the objects which he creates: but it</w:t>
        <w:br w:type="textWrapping"/>
        <w:t xml:space="preserve">is required that this Antichrist should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HIMSELF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 as an object of worship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above, and as superior to, “ every one that</w:t>
        <w:br w:type="textWrapping"/>
        <w:t xml:space="preserve">is called God or worshipped ”) 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that he</w:t>
        <w:br w:type="textWrapping"/>
        <w:t xml:space="preserve">sits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(enters into, sets himself down in, and</w:t>
        <w:br w:type="textWrapping"/>
        <w:t xml:space="preserve">remains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temple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(this, say</w:t>
        <w:br w:type="textWrapping"/>
        <w:t xml:space="preserve">some Commentators, cannot be any other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temple at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on account</w:t>
        <w:br w:type="textWrapping"/>
        <w:t xml:space="preserve">of the definiteness of the expression,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sits in</w:t>
        <w:br w:type="textWrapping"/>
        <w:t xml:space="preserve">the temple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there is no force</w:t>
        <w:br w:type="textWrapping"/>
        <w:t xml:space="preserve">in this.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temple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used metaphorically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by St. Paul in 1 Cor. iii. 17:</w:t>
        <w:br w:type="textWrapping"/>
        <w:t xml:space="preserve">and why not here? see also 1 Cor. vi. 16 ;</w:t>
        <w:br w:type="textWrapping"/>
        <w:t xml:space="preserve">Eph. ii. 21. From these passages it is plain</w:t>
        <w:br w:type="textWrapping"/>
        <w:t xml:space="preserve">that such figurative sense was familiar to</w:t>
        <w:br w:type="textWrapping"/>
        <w:t xml:space="preserve">the Apostle. And if so,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sitting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makes</w:t>
        <w:br w:type="textWrapping"/>
        <w:t xml:space="preserve">no difficulty. Its figurative sense, as holding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place of power, sitting as judge or</w:t>
        <w:br w:type="textWrapping"/>
        <w:t xml:space="preserve">ruler, is more frequent still : see in St. Paul,</w:t>
        <w:br w:type="textWrapping"/>
        <w:t xml:space="preserve">1 Cor. vi. 4: and Matt. xxiii. 2: Rev. xx.4:</w:t>
        <w:br w:type="textWrapping"/>
        <w:t xml:space="preserve">to which indeed we might add the many</w:t>
        <w:br w:type="textWrapping"/>
        <w:t xml:space="preserve">places where our Lord is said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</w:t>
        <w:br w:type="textWrapping"/>
        <w:t xml:space="preserve">right hand of God, e.g. Heb.i. 3; viii. 1;</w:t>
        <w:br w:type="textWrapping"/>
        <w:t xml:space="preserve">x. 12; xii. 2; Rev. iii. 21. Respecting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Introduction, § v.),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shewing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merely attempting to</w:t>
        <w:br w:type="textWrapping"/>
        <w:t xml:space="preserve">shew himself, but the words import that it is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habit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exhibit himself as</w:t>
        <w:br w:type="textWrapping"/>
        <w:t xml:space="preserve">God)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 is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god,’ but the</w:t>
        <w:br w:type="textWrapping"/>
        <w:t xml:space="preserve">word designates the divine dignity which</w:t>
        <w:br w:type="textWrapping"/>
        <w:t xml:space="preserve">he predicates of himself. The emphasis is</w:t>
        <w:br w:type="textWrapping"/>
        <w:t xml:space="preserve">on IS—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shewing himself that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conveys a reproach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—they would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y2hdfWXk4qs5cAxtoIUCx0XNGw==">AMUW2mUbEt0T0qzYuOowr+WJbQYOPP0O/buMNDYNFAyVSzPzSoxF/NArqr4TRJ8TrOO5WEKJOEQNKKjmwXYoEydpopVdWybRfGhSTcweASPvslIizEEwH5M=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