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not needing it (but it may have existed in</w:t>
        <w:br w:type="textWrapping"/>
        <w:t xml:space="preserve">xiii. 12, 13 without being specified) ; Rom.</w:t>
        <w:br w:type="textWrapping"/>
        <w:t xml:space="preserve">not requiring it, as not insisting on his</w:t>
        <w:br w:type="textWrapping"/>
        <w:t xml:space="preserve">personal authority (but here again the</w:t>
        <w:br w:type="textWrapping"/>
        <w:t xml:space="preserve">concluding doxology may have been autographic):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Col. authenticated (iv. 18):</w:t>
        <w:br w:type="textWrapping"/>
        <w:t xml:space="preserve">Eph. apparently without it (but possibly</w:t>
        <w:br w:type="textWrapping"/>
        <w:t xml:space="preserve">vi. 24 may have been autographic): Phil.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from its character and its bearer Epaphroditus 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requiring it (but here again</w:t>
        <w:br w:type="textWrapping"/>
        <w:t xml:space="preserve">iv. 23 may be autographic): and the</w:t>
        <w:br w:type="textWrapping"/>
        <w:t xml:space="preserve">Epistles to individuals would not require</w:t>
        <w:br w:type="textWrapping"/>
        <w:t xml:space="preserve">such authentication, not to mention that</w:t>
        <w:br w:type="textWrapping"/>
        <w:t xml:space="preserve">they are probably all autographic—that</w:t>
        <w:br w:type="textWrapping"/>
        <w:t xml:space="preserve">to Philemon certainly is, see ver. 19</w:t>
        <w:br w:type="textWrapping"/>
        <w:t xml:space="preserve">there.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3+fuhh8zOOlL45aiqXALmOcWj2A==">AMUW2mU5fJ0HlrYOdqHY49VcQTTsc5+F9TTOMKH7VpzoH3IrthoiKFj6x4ksglpFm+v4Bntg/iknHXfLkq+Wt7KjT10Z0KTpwLf7D/bqdNCaWmyYZ3VEeLo=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