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 characteristic increase of the frequency of these personal vindications on the</w:t>
        <w:br w:type="textWrapping"/>
        <w:t xml:space="preserve">part of the Apostle, as we so often have occasion to remark during these Epistles:—</w:t>
        <w:br w:type="textWrapping"/>
        <w:t xml:space="preserve">the disposition of one who had been long</w:t>
        <w:br w:type="textWrapping"/>
        <w:t xml:space="preserve">opposed and worried by adversaries to recur</w:t>
        <w:br w:type="textWrapping"/>
        <w:t xml:space="preserve">continually to his own claims, the assertion</w:t>
        <w:br w:type="textWrapping"/>
        <w:t xml:space="preserve">of which had now become with him almost,</w:t>
        <w:br w:type="textWrapping"/>
        <w:t xml:space="preserve">so to speak, a matter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stock-phrases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Still, the propriety of the assertion here</w:t>
        <w:br w:type="textWrapping"/>
        <w:t xml:space="preserve">is evident: it is only in the manner of it</w:t>
        <w:br w:type="textWrapping"/>
        <w:t xml:space="preserve">that the above habit is discernible. See</w:t>
        <w:br w:type="textWrapping"/>
        <w:t xml:space="preserve">more on this in the Introduction. The</w:t>
        <w:br w:type="textWrapping"/>
        <w:t xml:space="preserve">same phrase occurs verbatim in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Tim. i. 11),—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speak the truth in Christ, I lie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(in spite of all that some Commentators</w:t>
        <w:br w:type="textWrapping"/>
        <w:t xml:space="preserve">say of the evident appropriateness of this</w:t>
        <w:br w:type="textWrapping"/>
        <w:t xml:space="preserve">solemn asseveration here, I own I am unable to regard it as any more than a strong</w:t>
        <w:br w:type="textWrapping"/>
        <w:t xml:space="preserve">aud interesting proof of the growth of a</w:t>
        <w:br w:type="textWrapping"/>
        <w:t xml:space="preserve">habit in the Apostle’s mind, which we</w:t>
        <w:br w:type="textWrapping"/>
        <w:t xml:space="preserve">already trace in 2 Cor. xi. 31, Rom. ix. 1,</w:t>
        <w:br w:type="textWrapping"/>
        <w:t xml:space="preserve">till he came to use the phrase with less</w:t>
        <w:br w:type="textWrapping"/>
        <w:t xml:space="preserve">force and relevance than he had once done.</w:t>
        <w:br w:type="textWrapping"/>
        <w:t xml:space="preserve">Nothing can be more natural than that</w:t>
        <w:br w:type="textWrapping"/>
        <w:t xml:space="preserve">one whose life was spent in strong conflict</w:t>
        <w:br w:type="textWrapping"/>
        <w:t xml:space="preserve">and assertion of his Apostleship, should</w:t>
        <w:br w:type="textWrapping"/>
        <w:t xml:space="preserve">repeat the fervour of his usual asseveration, even when the occasion of that fervour had passed away)—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teacher of the</w:t>
        <w:br w:type="textWrapping"/>
        <w:t xml:space="preserve">Gentiles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was especially in this latter</w:t>
        <w:br w:type="textWrapping"/>
        <w:t xml:space="preserve">fact that the assertion of the universality</w:t>
        <w:br w:type="textWrapping"/>
        <w:t xml:space="preserve">of the Gospel found its justification, The</w:t>
        <w:br w:type="textWrapping"/>
        <w:t xml:space="preserve">historical proof of his constitution as a</w:t>
        <w:br w:type="textWrapping"/>
        <w:t xml:space="preserve">teacher of the Gentiles is to be found in</w:t>
        <w:br w:type="textWrapping"/>
        <w:t xml:space="preserve">Acts ix. 15, xxii. 21, xxvi. 17; but especially in Gal. ii.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(the) faith and (the)</w:t>
        <w:br w:type="textWrapping"/>
        <w:t xml:space="preserve">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(do these words refer subjectively to</w:t>
        <w:br w:type="textWrapping"/>
        <w:t xml:space="preserve">his own conduct in teaching the Gentiles,</w:t>
        <w:br w:type="textWrapping"/>
        <w:t xml:space="preserve">or objectively to that in which he was to</w:t>
        <w:br w:type="textWrapping"/>
        <w:t xml:space="preserve">instruct them? The former view is taken</w:t>
        <w:br w:type="textWrapping"/>
        <w:t xml:space="preserve">hy Theodoret and most Commentators:</w:t>
        <w:br w:type="textWrapping"/>
        <w:t xml:space="preserve">the latter by some moderns. In judging</w:t>
        <w:br w:type="textWrapping"/>
        <w:t xml:space="preserve">between these, we must take into account</w:t>
        <w:br w:type="textWrapping"/>
        <w:t xml:space="preserve">the usage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 ver. 4, ina</w:t>
        <w:br w:type="textWrapping"/>
        <w:t xml:space="preserve">very similar reference, when it was to be</w:t>
        <w:br w:type="textWrapping"/>
        <w:t xml:space="preserve">matter of teaching to all men. There it</w:t>
        <w:br w:type="textWrapping"/>
        <w:t xml:space="preserve">undoubtedly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God. I would</w:t>
        <w:br w:type="textWrapping"/>
        <w:t xml:space="preserve">therefore take it similarly here,—the</w:t>
        <w:br w:type="textWrapping"/>
        <w:t xml:space="preserve">sphere in which both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their learning was to be employed—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truth of the Gospel.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Then, if so, it is</w:t>
        <w:br w:type="textWrapping"/>
        <w:t xml:space="preserve">surely harsh to make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subjective,</w:t>
        <w:br w:type="textWrapping"/>
        <w:t xml:space="preserve">especially as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not repeated</w:t>
        <w:br w:type="textWrapping"/>
        <w:t xml:space="preserve">before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It too will most properly</w:t>
        <w:br w:type="textWrapping"/>
        <w:t xml:space="preserve">be objective,—and likewise regard that in</w:t>
        <w:br w:type="textWrapping"/>
        <w:t xml:space="preserve">which as an element or sphere, he was to</w:t>
        <w:br w:type="textWrapping"/>
        <w:t xml:space="preserve">teach and they to learn: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summary at beginning of chapter.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 then that the men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A. V.,</w:t>
        <w:br w:type="textWrapping"/>
        <w:t xml:space="preserve">by omitting the article, has entirely obscured this passage for its English readers,</w:t>
        <w:br w:type="textWrapping"/>
        <w:t xml:space="preserve">not one in a hundred of whom ever dream</w:t>
        <w:br w:type="textWrapping"/>
        <w:t xml:space="preserve">of a distinction of the sexes being here intended)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pray in every place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(these words</w:t>
        <w:br w:type="textWrapping"/>
        <w:t xml:space="preserve">regard the general duty of praying. It is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local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command respecting prayer, answering to the temporal command,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pray</w:t>
        <w:br w:type="textWrapping"/>
        <w:t xml:space="preserve">unceasingl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y,” 1 Thess. v. 17. It is far-fetched and irrelevant to the context to</w:t>
        <w:br w:type="textWrapping"/>
        <w:t xml:space="preserve">find in the words, as Chrysostom and</w:t>
        <w:br w:type="textWrapping"/>
        <w:t xml:space="preserve">others, the Christian’s freedom from prescription of place for prayer),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lifting up</w:t>
        <w:br w:type="textWrapping"/>
        <w:t xml:space="preserve">holy hands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Ps. lxiii. 4; xxviii. 2; xliv. 20.</w:t>
        <w:br w:type="textWrapping"/>
        <w:t xml:space="preserve">Clement of Rome, in his first</w:t>
        <w:br w:type="textWrapping"/>
        <w:t xml:space="preserve">Epistle to the Corinthians, says, “Let us</w:t>
        <w:br w:type="textWrapping"/>
        <w:t xml:space="preserve">approach unto Him in holiness of soul,</w:t>
        <w:br w:type="textWrapping"/>
        <w:t xml:space="preserve">lifting up unto Him chaste and undefiled</w:t>
        <w:br w:type="textWrapping"/>
        <w:t xml:space="preserve">hands.” These two passages testify to the</w:t>
        <w:br w:type="textWrapping"/>
        <w:t xml:space="preserve">practice in the Christian church. Those</w:t>
        <w:br w:type="textWrapping"/>
        <w:t xml:space="preserve">hands are holy, which have not surrendered</w:t>
        <w:br w:type="textWrapping"/>
        <w:t xml:space="preserve">themselves as instruments of evil desire:</w:t>
        <w:br w:type="textWrapping"/>
        <w:t xml:space="preserve">the contrary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polluted hands,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Macc. v.</w:t>
        <w:br w:type="textWrapping"/>
        <w:t xml:space="preserve">16: compare, for the expression, Job xvii.</w:t>
        <w:br w:type="textWrapping"/>
        <w:t xml:space="preserve">9, Ps. xxiv. 4, and in the New Test,</w:t>
        <w:br w:type="textWrapping"/>
        <w:t xml:space="preserve">especially James iv. 8)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(separate from, “putting away”)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wrath and</w:t>
        <w:br w:type="textWrapping"/>
        <w:t xml:space="preserve">disputation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in tranquillity aud mutual peace, 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is a kind</w:t>
        <w:br w:type="textWrapping"/>
        <w:t xml:space="preserve">of disputation within one’s self).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 In like manner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(this, by the</w:t>
        <w:br w:type="textWrapping"/>
        <w:t xml:space="preserve">parallel passage, Tit. ii. 8, seems to be</w:t>
        <w:br w:type="textWrapping"/>
        <w:t xml:space="preserve">little more than a copula, not necessarily</w:t>
        <w:br w:type="textWrapping"/>
        <w:t xml:space="preserve">to refer to the matter which has been last</w:t>
        <w:br w:type="textWrapping"/>
        <w:t xml:space="preserve">under treatment),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 that 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(without the article, the reference to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above is not so pointed: i.e. we need not</w:t>
        <w:br w:type="textWrapping"/>
        <w:t xml:space="preserve">imagine that the reference is necessarily to</w:t>
        <w:br w:type="textWrapping"/>
        <w:t xml:space="preserve">the same matter of detail, but may regard</w:t>
        <w:br w:type="textWrapping"/>
        <w:t xml:space="preserve">the verse [see below] as being to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V+lOP3HzJ4SRZs8vgxFDl+1NIA==">CgMxLjA4AHIhMUFhQlJLbDZvbHkyQWlkdkluX1gtWl9NbGpScTctelFY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