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is in the writer’s mind, and forms part of</w:t>
        <w:br w:type="textWrapping"/>
        <w:t xml:space="preserve">his own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thing which God</w:t>
        <w:br w:type="textWrapping"/>
        <w:t xml:space="preserve">has made is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allusion to Gen. i. 31.</w:t>
        <w:br w:type="textWrapping"/>
        <w:t xml:space="preserve">See also Rom. xiv.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14, 20),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(which God has made)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to be rejected, if</w:t>
        <w:br w:type="textWrapping"/>
        <w:t xml:space="preserve">received with thanksgiving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properly,</w:t>
        <w:br w:type="textWrapping"/>
        <w:t xml:space="preserve">even without this condition, all things are</w:t>
        <w:br w:type="textWrapping"/>
        <w:t xml:space="preserve">pure: but he did not rise to this abstraction, because he was regarding meats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 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use,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 latter</w:t>
        <w:br w:type="textWrapping"/>
        <w:t xml:space="preserve">may become impure by an ungodly frame</w:t>
        <w:br w:type="textWrapping"/>
        <w:t xml:space="preserve">of mind.” De Wette): 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above) it (this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gathered</w:t>
        <w:br w:type="textWrapping"/>
        <w:t xml:space="preserve">out of the preceding clause by implication,</w:t>
        <w:br w:type="textWrapping"/>
        <w:t xml:space="preserve">and means, ‘every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created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</w:t>
        <w:br w:type="textWrapping"/>
        <w:t xml:space="preserve">partaken of with thanksgiving’)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(more than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declared pure,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or even</w:t>
        <w:br w:type="textWrapping"/>
        <w:t xml:space="preserve">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‘rendered pure 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latter it does</w:t>
        <w:br w:type="textWrapping"/>
        <w:t xml:space="preserve">not want, the former falls far short of the</w:t>
        <w:br w:type="textWrapping"/>
        <w:t xml:space="preserve">work of the assigned agents. The emphasis is on this word, and a new particular is introduced by it—not purity</w:t>
        <w:br w:type="textWrapping"/>
        <w:t xml:space="preserve">merely,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,—fitness for the godly</w:t>
        <w:br w:type="textWrapping"/>
        <w:t xml:space="preserve">usage of Christian men. To this, which is</w:t>
        <w:br w:type="textWrapping"/>
        <w:t xml:space="preserve">more than mere making or declaring pure,</w:t>
        <w:br w:type="textWrapping"/>
        <w:t xml:space="preserve">it is set apart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 of thanks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so</w:t>
        <w:br w:type="textWrapping"/>
        <w:t xml:space="preserve">that the lesser is proved by the greater.</w:t>
        <w:br w:type="textWrapping"/>
        <w:t xml:space="preserve">There is certainly a slight trace of reference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higher consecration in the</w:t>
        <w:br w:type="textWrapping"/>
        <w:t xml:space="preserve">Lord’s Supper. The same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thanks-</w:t>
        <w:br w:type="textWrapping"/>
        <w:t xml:space="preserve">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common to both. Ordinary</w:t>
        <w:br w:type="textWrapping"/>
        <w:t xml:space="preserve">meals are set apart for ordinary Christian</w:t>
        <w:br w:type="textWrapping"/>
        <w:t xml:space="preserve">use by asking a blessing on them: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meal,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more than ordinary use, by asking on it its own peculiar blessing)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  <w:br w:type="textWrapping"/>
        <w:t xml:space="preserve">means of the word of God and intercession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‘word of God ?’ how to be</w:t>
        <w:br w:type="textWrapping"/>
        <w:t xml:space="preserve">understood? Treating the plainer word</w:t>
        <w:br w:type="textWrapping"/>
        <w:t xml:space="preserve">first,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intercession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meant is evidently</w:t>
        <w:br w:type="textWrapping"/>
        <w:t xml:space="preserve">intercession [see on ch, fi. 1]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behalf</w:t>
        <w:br w:type="textWrapping"/>
        <w:t xml:space="preserve">of the thing partaken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 it may</w:t>
        <w:br w:type="textWrapping"/>
        <w:t xml:space="preserve">be ‘sanctified to our use.’ This may serve</w:t>
        <w:br w:type="textWrapping"/>
        <w:t xml:space="preserve">to guide us to the meaning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 of</w:t>
        <w:br w:type="textWrapping"/>
        <w:t xml:space="preserve">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first, negatively. It cannot</w:t>
        <w:br w:type="textWrapping"/>
        <w:t xml:space="preserve">mean any thing which does not form part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thanksgiving: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 as God’s word</w:t>
        <w:br w:type="textWrapping"/>
        <w:t xml:space="preserve">in the Scripture just cited, or in any other</w:t>
        <w:br w:type="textWrapping"/>
        <w:t xml:space="preserve">place: or, God’s word in the foundation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truths of Christianity. Then, positively:</w:t>
        <w:br w:type="textWrapping"/>
        <w:t xml:space="preserve">it must mean in some sense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thanksgiving,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something in it. But not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 addressed to God,’ or ‘prayer made</w:t>
        <w:br w:type="textWrapping"/>
        <w:t xml:space="preserve">to God,’ which would be an unprecedented</w:t>
        <w:br w:type="textWrapping"/>
        <w:t xml:space="preserve">meaning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 God: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only</w:t>
        <w:br w:type="textWrapping"/>
        <w:t xml:space="preserve">way open for us is,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thanksgiving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itself, or some part of it, is in some sense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may be (1) by its</w:t>
        <w:br w:type="textWrapping"/>
        <w:t xml:space="preserve">consisting in whole or in part of Scripture</w:t>
        <w:br w:type="textWrapping"/>
        <w:t xml:space="preserve">words, or (2) by the effusion of a Christian man, speaking in the power of God’s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Spirit, being known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latter is perhaps justified : but still it</w:t>
        <w:br w:type="textWrapping"/>
        <w:t xml:space="preserve">seems to me hardly probable, and I should</w:t>
        <w:br w:type="textWrapping"/>
        <w:t xml:space="preserve">prefer the former. It would generally be</w:t>
        <w:br w:type="textWrapping"/>
        <w:t xml:space="preserve">the case, that any form of Christian thanksgiving before meat would contain words of</w:t>
        <w:br w:type="textWrapping"/>
        <w:t xml:space="preserve">Seripture, or at all events thoughts in exact</w:t>
        <w:br w:type="textWrapping"/>
        <w:t xml:space="preserve">accordance with them: and such utterance</w:t>
        <w:br w:type="textWrapping"/>
        <w:t xml:space="preserve">of God’s revealed will, bringing as it would</w:t>
        <w:br w:type="textWrapping"/>
        <w:t xml:space="preserve">the assembled family and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meal into harmony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Him, might well be said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sanctify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table for their use. Many of</w:t>
        <w:br w:type="textWrapping"/>
        <w:t xml:space="preserve">the Commentators quote from the (apocryphal but very ancient) Apostolic Constitution, the following grace before meat, used.</w:t>
        <w:br w:type="textWrapping"/>
        <w:t xml:space="preserve">in the primitive times: “ Blessed art Thou,</w:t>
        <w:br w:type="textWrapping"/>
        <w:t xml:space="preserve">O Lord, who nourishest me from my youth,</w:t>
        <w:br w:type="textWrapping"/>
        <w:t xml:space="preserve">who givest food to all flesh. Fill our hearts</w:t>
        <w:br w:type="textWrapping"/>
        <w:t xml:space="preserve">with joy and gladness, that always havingall</w:t>
        <w:br w:type="textWrapping"/>
        <w:t xml:space="preserve">competence, we may abound unto every good</w:t>
        <w:br w:type="textWrapping"/>
        <w:t xml:space="preserve">work in Christ Jesus our Lord, through</w:t>
        <w:br w:type="textWrapping"/>
        <w:t xml:space="preserve">whom be unto Thee honour and might for</w:t>
        <w:br w:type="textWrapping"/>
        <w:t xml:space="preserve">ever. Amen.” Here almost every clause</w:t>
        <w:br w:type="textWrapping"/>
        <w:t xml:space="preserve">is taken from some expression of Scripture).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6—11.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Recommendatory application to</w:t>
        <w:br w:type="textWrapping"/>
        <w:t xml:space="preserve">Timothy of what has been just said, as</w:t>
        <w:br w:type="textWrapping"/>
        <w:t xml:space="preserve">to form part of his teaching, to the avoidance by him of false and vain doctrine,</w:t>
        <w:br w:type="textWrapping"/>
        <w:t xml:space="preserve">and to the practice of godliness.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—These</w:t>
        <w:br w:type="textWrapping"/>
        <w:t xml:space="preserve">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(simply the matter treated since</w:t>
        <w:br w:type="textWrapping"/>
        <w:t xml:space="preserve">the beginning of the chapter,—the coming</w:t>
        <w:br w:type="textWrapping"/>
        <w:t xml:space="preserve">apostasy after these ascetic teachers, au</w:t>
        <w:br w:type="textWrapping"/>
        <w:t xml:space="preserve">the true grounds of avoiding it. This best</w:t>
        <w:br w:type="textWrapping"/>
        <w:t xml:space="preserve">suits the following context and the subsequent suggesting, which certainly would</w:t>
        <w:br w:type="textWrapping"/>
        <w:t xml:space="preserve">not be used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suggesting (so literally: or counselling, or setting</w:t>
        <w:br w:type="textWrapping"/>
        <w:t xml:space="preserve">forth)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brethren thou wilt be a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9ykiuetTXnuo4EK4Dxayhc41KA==">CgMxLjA4AHIhMWtPSVAzVnBuRks4NUJERXhRcmFOMFhEY28tazVxeFN2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