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right path)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(so as to follow)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Satan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(De Wette doubts whether St. Paul’s</w:t>
        <w:br w:type="textWrapping"/>
        <w:t xml:space="preserve">experience could have been long enough</w:t>
        <w:br w:type="textWrapping"/>
        <w:t xml:space="preserve">to bear out such an assertion,—and thus</w:t>
        <w:br w:type="textWrapping"/>
        <w:t xml:space="preserve">impugns the genuineness of the Epistle.</w:t>
        <w:br w:type="textWrapping"/>
        <w:t xml:space="preserve">But this is very much a matter of dates:</w:t>
        <w:br w:type="textWrapping"/>
        <w:t xml:space="preserve">and even taking the earliest commonly</w:t>
        <w:br w:type="textWrapping"/>
        <w:t xml:space="preserve">assigned, the assertion might be strictly</w:t>
        <w:br w:type="textWrapping"/>
        <w:t xml:space="preserve">true, applying as it does not only to</w:t>
        <w:br w:type="textWrapping"/>
        <w:t xml:space="preserve">Ephesus, but to the far wider range of</w:t>
        <w:br w:type="textWrapping"/>
        <w:t xml:space="preserve">his apostolic ministry).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 a repetition of vv. 4, 8, but an extension of</w:t>
        <w:br w:type="textWrapping"/>
        <w:t xml:space="preserve">the same duty to more distant relatives</w:t>
        <w:br w:type="textWrapping"/>
        <w:t xml:space="preserve">than those there spoken of.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If any believing [man or] woman has widows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(in</w:t>
        <w:br w:type="textWrapping"/>
        <w:t xml:space="preserve">[his or] her family—dependent in any degree, however distant—e. g. as sister, or</w:t>
        <w:br w:type="textWrapping"/>
        <w:t xml:space="preserve">sister-in-law, aunt, niece, cousin, &amp;c.),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let</w:t>
        <w:br w:type="textWrapping"/>
        <w:t xml:space="preserve">such person relieve them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above, ver.</w:t>
        <w:br w:type="textWrapping"/>
        <w:t xml:space="preserve">10),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let the church not be burdened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(with their support);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it may relieve</w:t>
        <w:br w:type="textWrapping"/>
        <w:t xml:space="preserve">those who are widows in reality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(really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widowed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—destitute of help).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17—25.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Directions respecting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(17—</w:t>
        <w:br w:type="textWrapping"/>
        <w:t xml:space="preserve">19)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presbyters 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(20—25)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church discipline: and certain matters regarding his own official and personal life.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Let the presbyters who well preside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(viz. over their portion of the Church’s</w:t>
        <w:br w:type="textWrapping"/>
        <w:t xml:space="preserve">work : in earnestness and self-sacrifice, also</w:t>
        <w:br w:type="textWrapping"/>
        <w:t xml:space="preserve">with wisdom and ability)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 held worthy</w:t>
        <w:br w:type="textWrapping"/>
        <w:t xml:space="preserve">of double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(not, as compared with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widows,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deacons,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poor,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  <w:br w:type="textWrapping"/>
        <w:t xml:space="preserve">but as compared with those who have</w:t>
        <w:br w:type="textWrapping"/>
        <w:t xml:space="preserve">not distinguished themselves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presiding</w:t>
        <w:br w:type="textWrapping"/>
        <w:t xml:space="preserve">well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and evidently it is not to be taken</w:t>
        <w:br w:type="textWrapping"/>
        <w:t xml:space="preserve">in the meré literal sense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double,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</w:t>
        <w:br w:type="textWrapping"/>
        <w:t xml:space="preserve">implies increase generally —see below)</w:t>
        <w:br w:type="textWrapping"/>
        <w:t xml:space="preserve">honour (from other considerations, as well</w:t>
        <w:br w:type="textWrapping"/>
        <w:t xml:space="preserve">as from the context here, it is evident</w:t>
        <w:br w:type="textWrapping"/>
        <w:t xml:space="preserve">that not merely honour,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recompense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here in question: but the word need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confined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that meaning: honour,</w:t>
        <w:br w:type="textWrapping"/>
        <w:t xml:space="preserve">and honour’s fruit, may be both included</w:t>
        <w:br w:type="textWrapping"/>
        <w:t xml:space="preserve">in it. Grotius conceives an allusion to</w:t>
        <w:br w:type="textWrapping"/>
        <w:t xml:space="preserve">the double portion of the firstborn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Deut. xxi. 17]; Elsner, to the double</w:t>
        <w:br w:type="textWrapping"/>
        <w:t xml:space="preserve">share of provision which used to be set</w:t>
        <w:br w:type="textWrapping"/>
        <w:t xml:space="preserve">before the presbyters in the Agap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</w:t>
        <w:br w:type="textWrapping"/>
        <w:t xml:space="preserve">as De Wette remarks, that practice was</w:t>
        <w:br w:type="textWrapping"/>
        <w:t xml:space="preserve">much more probably owing to a misunder-</w:t>
        <w:br w:type="textWrapping"/>
        <w:t xml:space="preserve">standing of this passage),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especially those</w:t>
        <w:br w:type="textWrapping"/>
        <w:t xml:space="preserve">that labour in (the) word and teaching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(therefore the preaching of the word, and</w:t>
        <w:br w:type="textWrapping"/>
        <w:t xml:space="preserve">teaching,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the office of all the presbyters.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Conybeare rightly remarks,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is a proof of the early date of the</w:t>
        <w:br w:type="textWrapping"/>
        <w:t xml:space="preserve">Epistle. Of these two expressions the</w:t>
        <w:br w:type="textWrapping"/>
        <w:t xml:space="preserve">word would more properly express preaching;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doctrine,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work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instruction,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catechetical or other means).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Ground for the above injunction.—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the first citation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 ox while treading,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&amp;c., not,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ow that treadeth,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A. V.) treated by the Apostle at more</w:t>
        <w:br w:type="textWrapping"/>
        <w:t xml:space="preserve">length, 1 Cor. ix. 9. It is doubted whether</w:t>
        <w:br w:type="textWrapping"/>
        <w:t xml:space="preserve">the words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labourer is worthy of his</w:t>
        <w:br w:type="textWrapping"/>
        <w:t xml:space="preserve">hire,”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a citation at all. Some have</w:t>
        <w:br w:type="textWrapping"/>
        <w:t xml:space="preserve">referred them to Lev. xix. 13: Deut. xxiv.</w:t>
        <w:br w:type="textWrapping"/>
        <w:t xml:space="preserve">14, which passages however say nothing of</w:t>
        <w:br w:type="textWrapping"/>
        <w:t xml:space="preserve">the kind, being special directions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paying a labourer’s wages before night.</w:t>
        <w:br w:type="textWrapping"/>
        <w:t xml:space="preserve">Theodoret and Theophylact suppose it to</w:t>
        <w:br w:type="textWrapping"/>
        <w:t xml:space="preserve">be quoted from the New Testament; i.e.</w:t>
        <w:br w:type="textWrapping"/>
        <w:t xml:space="preserve">from our Lord’s saying, Matt. x. 10:</w:t>
        <w:br w:type="textWrapping"/>
        <w:t xml:space="preserve">Luke x. 7. But it is very unlikely that</w:t>
        <w:br w:type="textWrapping"/>
        <w:t xml:space="preserve">the Apostle should cite these under the</w:t>
        <w:br w:type="textWrapping"/>
        <w:t xml:space="preserve">title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Scripture: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Calvin’s view</w:t>
        <w:br w:type="textWrapping"/>
        <w:t xml:space="preserve">seems most probable,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Scripture</w:t>
        <w:br w:type="textWrapping"/>
        <w:t xml:space="preserve">saith” refers only to the former citation,</w:t>
        <w:br w:type="textWrapping"/>
        <w:t xml:space="preserve">and that he adduces this sentiment, as our</w:t>
        <w:br w:type="textWrapping"/>
        <w:t xml:space="preserve">Lord Himself does, as a popular and well-known saying.—This verse it is, which</w:t>
        <w:br w:type="textWrapping"/>
        <w:t xml:space="preserve">makes it extremely probable, that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r/NpaCpDAeGOwnhJwuuRZNbUtw==">CgMxLjA4AHIhMXVYT2V1d1RsVnhZTnd1dWt3NWNOaEpzTjhvNU93d01a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