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(there is most probably a reference to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eternal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above: hardly, as Chrysostom and others think,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resurrection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reminding him that death for</w:t>
        <w:br w:type="textWrapping"/>
        <w:t xml:space="preserve">Christ’s sake was not to be feared: for</w:t>
        <w:br w:type="textWrapping"/>
        <w:t xml:space="preserve">there is here no immediate allusion to</w:t>
        <w:br w:type="textWrapping"/>
        <w:t xml:space="preserve">danger, but only to the duty of personal</w:t>
        <w:br w:type="textWrapping"/>
        <w:t xml:space="preserve">firmness in the faith in his own religious</w:t>
        <w:br w:type="textWrapping"/>
        <w:t xml:space="preserve">life),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of Christ Jesus, who testified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Lord testified the confession, sealed it</w:t>
        <w:br w:type="textWrapping"/>
        <w:t xml:space="preserve">with His sufferings and blood,—Timothy</w:t>
        <w:br w:type="textWrapping"/>
        <w:t xml:space="preserve">was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confess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before Pontins Pilate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may be rendered as in the Apostles’</w:t>
        <w:br w:type="textWrapping"/>
        <w:t xml:space="preserve">Creed,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under Pontius Pilate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the</w:t>
        <w:br w:type="textWrapping"/>
        <w:t xml:space="preserve">immediate reference here being to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 seems more natural to take the</w:t>
        <w:br w:type="textWrapping"/>
        <w:t xml:space="preserve">meaning,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presence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so Chrysostom, who as a Greek, and familiar with</w:t>
        <w:br w:type="textWrapping"/>
        <w:t xml:space="preserve">the Creed, is a fair witness)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good confession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that whole testimony to the</w:t>
        <w:br w:type="textWrapping"/>
        <w:t xml:space="preserve">verity of his own Person and to the Truth,</w:t>
        <w:br w:type="textWrapping"/>
        <w:t xml:space="preserve">which we find in John xviii, and which</w:t>
        <w:br w:type="textWrapping"/>
        <w:t xml:space="preserve">doubtless formed part of the oral apostolic</w:t>
        <w:br w:type="textWrapping"/>
        <w:t xml:space="preserve">teaching. Those who render the pre-</w:t>
        <w:br w:type="textWrapping"/>
        <w:t xml:space="preserve">position, ‘under,’ understand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our Lord’s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sufferings and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—which at least is far-fetched.—There is</w:t>
        <w:br w:type="textWrapping"/>
        <w:t xml:space="preserve">no necessity to require a strict parallel between the circumstances of the confession of</w:t>
        <w:br w:type="textWrapping"/>
        <w:t xml:space="preserve">our Lord and that of Timothy, nor to infer</w:t>
        <w:br w:type="textWrapping"/>
        <w:t xml:space="preserve">in consequence of this verse that his confession must have been one before a heathen</w:t>
        <w:br w:type="textWrapping"/>
        <w:t xml:space="preserve">magistrate: it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a confession</w:t>
        <w:br w:type="textWrapping"/>
        <w:t xml:space="preserve">having been made in both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ases that is put</w:t>
        <w:br w:type="textWrapping"/>
        <w:t xml:space="preserve">in the foreground—and that our Lord’s</w:t>
        <w:br w:type="textWrapping"/>
        <w:t xml:space="preserve">was made in the midst of danger and with</w:t>
        <w:br w:type="textWrapping"/>
        <w:t xml:space="preserve">death before him, is a powerful argument</w:t>
        <w:br w:type="textWrapping"/>
        <w:t xml:space="preserve">to firmness for his servant in his own confession);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thou keep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(preserve)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commandment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(used not to designate any</w:t>
        <w:br w:type="textWrapping"/>
        <w:t xml:space="preserve">special command just given, but as a</w:t>
        <w:br w:type="textWrapping"/>
        <w:t xml:space="preserve">general compendium of the rule of the</w:t>
        <w:br w:type="textWrapping"/>
        <w:t xml:space="preserve">Gospel, after which our lives and thoughts</w:t>
        <w:br w:type="textWrapping"/>
        <w:t xml:space="preserve">must be regulated: see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command-</w:t>
        <w:br w:type="textWrapping"/>
        <w:t xml:space="preserve">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the same sense, ch. i. 5)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without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spot and without reproach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(both epithets</w:t>
        <w:br w:type="textWrapping"/>
        <w:t xml:space="preserve">belong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commandment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not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as most Commentators. The commandment, entrusted to thee as a deposit</w:t>
        <w:br w:type="textWrapping"/>
        <w:t xml:space="preserve">[ver. 20], must be kept by thee unstained</w:t>
        <w:br w:type="textWrapping"/>
        <w:t xml:space="preserve">and reproached),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until the appearance</w:t>
        <w:br w:type="textWrapping"/>
        <w:t xml:space="preserve">of our Lord Jesus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(“that is,” says</w:t>
        <w:br w:type="textWrapping"/>
        <w:t xml:space="preserve">Chrysostom, “until thy death, until thy</w:t>
        <w:br w:type="textWrapping"/>
        <w:t xml:space="preserve">departure.” But surely both the usage of</w:t>
        <w:br w:type="textWrapping"/>
        <w:t xml:space="preserve">the word appearance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epiphany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and the</w:t>
        <w:br w:type="textWrapping"/>
        <w:t xml:space="preserve">next verse should have kept him from this.</w:t>
        <w:br w:type="textWrapping"/>
        <w:t xml:space="preserve">mistake. Far better Bengel, explaining</w:t>
        <w:br w:type="textWrapping"/>
        <w:t xml:space="preserve">that the faithful then set before themselves the coming of the Lord: we, the</w:t>
        <w:br w:type="textWrapping"/>
        <w:t xml:space="preserve">hour of our death. We may fairly say that</w:t>
        <w:br w:type="textWrapping"/>
        <w:t xml:space="preserve">whatever impression is betrayed by the</w:t>
        <w:br w:type="textWrapping"/>
        <w:t xml:space="preserve">words that the coming of the Lord would</w:t>
        <w:br w:type="textWrapping"/>
        <w:t xml:space="preserve">be in Timothy’s lifetime, is chastened and</w:t>
        <w:br w:type="textWrapping"/>
        <w:t xml:space="preserve">corrected by the words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His own</w:t>
        <w:br w:type="textWrapping"/>
        <w:t xml:space="preserve">seasons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of the next verse.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</w:t>
        <w:br w:type="textWrapping"/>
        <w:t xml:space="preserve">certainty of the coming in God’s own time,</w:t>
        <w:br w:type="textWrapping"/>
        <w:t xml:space="preserve">was a fixed truth respecting which the</w:t>
        <w:br w:type="textWrapping"/>
        <w:t xml:space="preserve">Apostle speaks with the authority of the</w:t>
        <w:br w:type="textWrapping"/>
        <w:t xml:space="preserve">Spirit: but the day and hour was hidden</w:t>
        <w:br w:type="textWrapping"/>
        <w:t xml:space="preserve">from him as from us: and from such passages as this we see that the apostolic age</w:t>
        <w:br w:type="textWrapping"/>
        <w:t xml:space="preserve">maintained that which ought to be the</w:t>
        <w:br w:type="textWrapping"/>
        <w:t xml:space="preserve">attitude of all ages, constant expectation</w:t>
        <w:br w:type="textWrapping"/>
        <w:t xml:space="preserve">of the Lord’s return):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which</w:t>
        <w:br w:type="textWrapping"/>
        <w:t xml:space="preserve">in His own seasons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(“that is, in the</w:t>
        <w:br w:type="textWrapping"/>
        <w:t xml:space="preserve">fitting, proper seasons.” Chrysostom.</w:t>
        <w:br w:type="textWrapping"/>
        <w:t xml:space="preserve">Bengel remarks the plural, which seems</w:t>
        <w:br w:type="textWrapping"/>
        <w:t xml:space="preserve">to imply long spaces of time. See the same</w:t>
        <w:br w:type="textWrapping"/>
        <w:t xml:space="preserve">in Acts i. 7)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 shall manifest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(make</w:t>
        <w:br w:type="textWrapping"/>
        <w:t xml:space="preserve">visible, cause to appear; display),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who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blessed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(blessed, of Himself)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only</w:t>
        <w:br w:type="textWrapping"/>
        <w:t xml:space="preserve">Potentate, the King of kings, and Lord of</w:t>
        <w:br w:type="textWrapping"/>
        <w:t xml:space="preserve">lords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(literally,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King of them that</w:t>
        <w:br w:type="textWrapping"/>
        <w:t xml:space="preserve">reign and the Lord of them that rule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This seems the place,—on account of this</w:t>
        <w:br w:type="textWrapping"/>
        <w:t xml:space="preserve">same designation occurring in Rev. xvii.</w:t>
        <w:br w:type="textWrapping"/>
        <w:t xml:space="preserve">14; xix. 16, applied to our Lord,—to e</w:t>
        <w:br w:type="textWrapping"/>
        <w:t xml:space="preserve">quire whether these verses 15, 16 are said</w:t>
        <w:br w:type="textWrapping"/>
        <w:t xml:space="preserve">of the Father or of the Son. Chrysostom</w:t>
        <w:br w:type="textWrapping"/>
        <w:t xml:space="preserve">holds very strongly the latter view: 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q5aHP8YMCrMwQGfTgw/+w1gQX+Q==">AMUW2mW3HaVJh9WGzaNQ3PGNa2wiOrMlnXKnf//8cELgDB4tb+JbnkNIbs936zJqxetGNbAKbjSPOD0EidAM1NzIzilGwm7naCxuqkBZm+kEeVoc3V09/hQ=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