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future,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order that, as always:</w:t>
        <w:br w:type="textWrapping"/>
        <w:t xml:space="preserve">not the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preceding: ‘as</w:t>
        <w:br w:type="textWrapping"/>
        <w:t xml:space="preserve">it were,’ says De Wette, ‘setting foot on</w:t>
        <w:br w:type="textWrapping"/>
        <w:t xml:space="preserve">this foundation,’ or firm ground)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may</w:t>
        <w:br w:type="textWrapping"/>
        <w:t xml:space="preserve">lay hold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(ver.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is really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 the goods of this life, but</w:t>
        <w:br w:type="textWrapping"/>
        <w:t xml:space="preserve">the possession and substance of that other,</w:t>
        <w:br w:type="textWrapping"/>
        <w:t xml:space="preserve">which, as full of joy and everlasting, is the</w:t>
        <w:br w:type="textWrapping"/>
        <w:t xml:space="preserve">only true life).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20, 21.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EXHORTATION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TIMOTHY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Timothy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personal</w:t>
        <w:br w:type="textWrapping"/>
        <w:t xml:space="preserve">address comes with great weight and</w:t>
        <w:br w:type="textWrapping"/>
        <w:t xml:space="preserve">solemnity: “he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him, as his son,</w:t>
        <w:br w:type="textWrapping"/>
        <w:t xml:space="preserve">with solemnity and love.” Bengel),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</w:t>
        <w:br w:type="textWrapping"/>
        <w:t xml:space="preserve">the deposit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(entrusted to thee: 2 Tim. i.</w:t>
        <w:br w:type="textWrapping"/>
        <w:t xml:space="preserve">12,14. “Take not aught from it: it is not</w:t>
        <w:br w:type="textWrapping"/>
        <w:t xml:space="preserve">thine: thon wert trusted with others’</w:t>
        <w:br w:type="textWrapping"/>
        <w:t xml:space="preserve">goods, deteriorate them not.” Chrysostom,</w:t>
        <w:br w:type="textWrapping"/>
        <w:t xml:space="preserve">—viz., the sound doctrine which thou art to</w:t>
        <w:br w:type="textWrapping"/>
        <w:t xml:space="preserve">teach in thy ministry in the Lord, compare</w:t>
        <w:br w:type="textWrapping"/>
        <w:t xml:space="preserve">Col. iv. 17, This is the most probable</w:t>
        <w:br w:type="textWrapping"/>
        <w:t xml:space="preserve">explanation. Some regard it as the com-</w:t>
        <w:br w:type="textWrapping"/>
        <w:t xml:space="preserve">mandment above, ver. 14: some as meaning</w:t>
        <w:br w:type="textWrapping"/>
        <w:t xml:space="preserve">the grace given to him for his office, or for</w:t>
        <w:br w:type="textWrapping"/>
        <w:t xml:space="preserve">his own spiritual life: but ch. i. 18, compared with 2 Tim. ii. 2, seems ‘to fix the</w:t>
        <w:br w:type="textWrapping"/>
        <w:t xml:space="preserve">meaning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above)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turning away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(compare 2 Tim. iii. 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profane babblings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(empty discourses: so also 2 Tim. ii.</w:t>
        <w:br w:type="textWrapping"/>
        <w:t xml:space="preserve">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oppositions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(apparently, dialectic</w:t>
        <w:br w:type="textWrapping"/>
        <w:t xml:space="preserve">antitheses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niceties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false teachers)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that which is falsely named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without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cannot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Chrysostom)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true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Gnosis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[knowledge], being one of the greatest</w:t>
        <w:br w:type="textWrapping"/>
        <w:t xml:space="preserve">gifts of the Spirit to the Church, was soon</w:t>
        <w:br w:type="textWrapping"/>
        <w:t xml:space="preserve">counterfeited by various systems of hybrid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theology, calling themselves by this honoured name. In the Apostle’s time, the</w:t>
        <w:br w:type="textWrapping"/>
        <w:t xml:space="preserve">misnomer was already current: but we</w:t>
        <w:br w:type="textWrapping"/>
        <w:t xml:space="preserve">are not therefore justified in assuming</w:t>
        <w:br w:type="textWrapping"/>
        <w:t xml:space="preserve">that it had received'so definite an application, as afterwards it did to the various</w:t>
        <w:br w:type="textWrapping"/>
        <w:t xml:space="preserve">forms of Gnostic heresy. All that we can</w:t>
        <w:br w:type="textWrapping"/>
        <w:t xml:space="preserve">hence gather is, that the true spiritual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Gnosis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Christian was already being</w:t>
        <w:br w:type="textWrapping"/>
        <w:t xml:space="preserve">counterfeited by persons bearing the characteristics noticed in this Epistle. Whether these were the Gnostics themselves,</w:t>
        <w:br w:type="textWrapping"/>
        <w:t xml:space="preserve">or their precursors, we have examined in</w:t>
        <w:br w:type="textWrapping"/>
        <w:t xml:space="preserve">the Introduction to the Pastoral Epistles):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falsely called</w:t>
        <w:br w:type="textWrapping"/>
        <w:t xml:space="preserve">knowledge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some professing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(ch. ii. 10)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missed the 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word is used of one</w:t>
        <w:br w:type="textWrapping"/>
        <w:t xml:space="preserve">shooting and missing. The tense is the</w:t>
        <w:br w:type="textWrapping"/>
        <w:t xml:space="preserve">indefinite past, as marking merely the</w:t>
        <w:br w:type="textWrapping"/>
        <w:t xml:space="preserve">event, not the abiding of these men still</w:t>
        <w:br w:type="textWrapping"/>
        <w:t xml:space="preserve">in the Ephesian church)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concerning the</w:t>
        <w:br w:type="textWrapping"/>
        <w:t xml:space="preserve">faith.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CONCLUDING BENEDICTION: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(of God,—the grace</w:t>
        <w:br w:type="textWrapping"/>
        <w:t xml:space="preserve">for which we Christians look, and in which</w:t>
        <w:br w:type="textWrapping"/>
        <w:t xml:space="preserve">we stand)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with thee.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—In the A. V.a</w:t>
        <w:br w:type="textWrapping"/>
        <w:t xml:space="preserve">subscription to the Epistle is found, “The</w:t>
        <w:br w:type="textWrapping"/>
        <w:t xml:space="preserve">first to Timothy was written from Laodicea,</w:t>
        <w:br w:type="textWrapping"/>
        <w:t xml:space="preserve">is the chiefest city of Phrygia Pacatiana.” A shorter notice, “from Laodicea,”</w:t>
        <w:br w:type="textWrapping"/>
        <w:t xml:space="preserve">is found in the Alexandrine MS. These</w:t>
        <w:br w:type="textWrapping"/>
        <w:t xml:space="preserve">owe their origin probably to the notion</w:t>
        <w:br w:type="textWrapping"/>
        <w:t xml:space="preserve">that this was the Epistle from Laodicea</w:t>
        <w:br w:type="textWrapping"/>
        <w:t xml:space="preserve">mentioned Col. iv. 16. The further addition in the A. V. betrays a date subsequent</w:t>
        <w:br w:type="textWrapping"/>
        <w:t xml:space="preserve">to the fourth century, when the province</w:t>
        <w:br w:type="textWrapping"/>
        <w:t xml:space="preserve">of Phrygia Pacatiana was first created.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0T13:12:53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20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RS9/Io/HI1rOvFolmlnlStH+6A==">AMUW2mVjzmcBO6ZqTSnO/OtnFO7hz+VNWaseMXZIrZjKTFzhA8jskCmUlj7I9ehqSuLsi5Rit9KqnQx4YDy0a227DcwgkAbrF3IwgA8lQzvkpLvApYOJHq7zZ4IbKqZmtdN7rpzjFj3dMUW3kg4LTWR0jKNNBn8kL2B0IYySqPisfIP8MLJQMi14YMXwgItQ1XIKQpgG+61fY61ZYSDYLOfzfbrAIoriAwSEzy8kwMTSXRkMqkRzeIZSgPgt+npU3TlWNzC1tUsvi+nk7wpecv7bHN86M5em1wJdmZToAKI2EYAz3So9kSzvbKvVlgwXGZsqTg+aCQfsS9MxNZSx6pLSgJ06hF7YUyqb360Mhp6iXvQ+m0uBhBJ9AoVG35h24pG6UgkPCmvIU+5ZuSDIKK2IORDVIGpE4srSGDiFY1Ob4g4gsvuwpeYuPzczzJd+QwobRSF+l10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