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me because I was a prisoner, but made</w:t>
        <w:br w:type="textWrapping"/>
        <w:t xml:space="preserve">that very fact his reason for seeking me</w:t>
        <w:br w:type="textWrapping"/>
        <w:t xml:space="preserve">out more diligently),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found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May the Lord grant to him to find</w:t>
        <w:br w:type="textWrapping"/>
        <w:t xml:space="preserve">mercy from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account to be</w:t>
        <w:br w:type="textWrapping"/>
        <w:t xml:space="preserve">given of the double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”—“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here is simply this—that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may</w:t>
        <w:br w:type="textWrapping"/>
        <w:t xml:space="preserve">the Lord grant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had become so completely a formula, that the recurrence was</w:t>
        <w:br w:type="textWrapping"/>
        <w:t xml:space="preserve">not noticed. This is far better than to</w:t>
        <w:br w:type="textWrapping"/>
        <w:t xml:space="preserve">suppose the second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merely to</w:t>
        <w:br w:type="textWrapping"/>
        <w:t xml:space="preserve">mean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or to enter into theological distinctions between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as the Father, 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as</w:t>
        <w:br w:type="textWrapping"/>
        <w:t xml:space="preserve">from the Son, the Judge)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day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(see on ver. 12):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how many services</w:t>
        <w:br w:type="textWrapping"/>
        <w:t xml:space="preserve">he did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 me: or, to the saints: the</w:t>
        <w:br w:type="textWrapping"/>
        <w:t xml:space="preserve">general expression will admit of either)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  <w:br w:type="textWrapping"/>
        <w:t xml:space="preserve">Ephesus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(being probably an Ephesian,</w:t>
        <w:br w:type="textWrapping"/>
        <w:t xml:space="preserve">compare ch. ix. 19),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knowest better</w:t>
        <w:br w:type="textWrapping"/>
        <w:t xml:space="preserve">than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(because Timothy was at Ephesus,</w:t>
        <w:br w:type="textWrapping"/>
        <w:t xml:space="preserve">and was more conversant with matters</w:t>
        <w:br w:type="textWrapping"/>
        <w:t xml:space="preserve">there).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II. 1—26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Exhortations to Timo-</w:t>
        <w:br w:type="textWrapping"/>
        <w:t xml:space="preserve">thy, founded on the foregoing examples</w:t>
        <w:br w:type="textWrapping"/>
        <w:t xml:space="preserve">and warnings.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therefore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 command follows, primarily on his</w:t>
        <w:br w:type="textWrapping"/>
        <w:t xml:space="preserve">own example just propounded, and secondarily on that of Onesiphorus, in contrast to those who had been ashamed</w:t>
        <w:br w:type="textWrapping"/>
        <w:t xml:space="preserve">of and deserted him),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child, be</w:t>
        <w:br w:type="textWrapping"/>
        <w:t xml:space="preserve">strengthened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original indicates an</w:t>
        <w:br w:type="textWrapping"/>
        <w:t xml:space="preserve">abiding state, not a mere insulated act,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 on gaining strength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grace which</w:t>
        <w:br w:type="textWrapping"/>
        <w:t xml:space="preserve">is in Christ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(more than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  <w:t xml:space="preserve">grace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Christ Jesus:” the grace which</w:t>
        <w:br w:type="textWrapping"/>
        <w:t xml:space="preserve">is laid up in Christ, the empowering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fluence in the Christian life, being necessary for its whole course and progress, is</w:t>
        <w:br w:type="textWrapping"/>
        <w:t xml:space="preserve">regarded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element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it is</w:t>
        <w:br w:type="textWrapping"/>
        <w:t xml:space="preserve">lived: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 Pet. ult.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</w:t>
        <w:br w:type="textWrapping"/>
        <w:t xml:space="preserve">not be taken, with some Commentators,</w:t>
        <w:br w:type="textWrapping"/>
        <w:t xml:space="preserve">for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ministerial office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things</w:t>
        <w:br w:type="textWrapping"/>
        <w:t xml:space="preserve">which thou heardest from me with many</w:t>
        <w:br w:type="textWrapping"/>
        <w:t xml:space="preserve">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with the intervention or</w:t>
        <w:br w:type="textWrapping"/>
        <w:t xml:space="preserve">attestation of many witnesses. These witnesses are not, as Chrysostom and others</w:t>
        <w:br w:type="textWrapping"/>
        <w:t xml:space="preserve">hold, the congregations whom Timothy</w:t>
        <w:br w:type="textWrapping"/>
        <w:t xml:space="preserve">had heard the Apostle teaching, nor are</w:t>
        <w:br w:type="textWrapping"/>
        <w:t xml:space="preserve">they testimonies from the law and prophets: nor the other Apostles: much less</w:t>
        <w:br w:type="textWrapping"/>
        <w:t xml:space="preserve">the Christian martyrs: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presbyters</w:t>
        <w:br w:type="textWrapping"/>
        <w:t xml:space="preserve">and others present at his ordination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compare 1 Tim. iv. 14; vi. 12; and ch. i. 6),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deliver in trust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 ch. i. 14)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faithful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not merely ‘believers,’ but ‘trustworthy men,’ men who</w:t>
        <w:br w:type="textWrapping"/>
        <w:t xml:space="preserve">will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 the goodly trust committed to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such as shall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merely</w:t>
        <w:br w:type="textWrapping"/>
        <w:t xml:space="preserve">‘are,’ but ‘shall be’—give every hope of</w:t>
        <w:br w:type="textWrapping"/>
        <w:t xml:space="preserve">turning out)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able to teach them to</w:t>
        <w:br w:type="textWrapping"/>
        <w:t xml:space="preserve">others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(also carries the mind on to a</w:t>
        <w:br w:type="textWrapping"/>
        <w:t xml:space="preserve">further step of the same process—imply-</w:t>
        <w:br w:type="textWrapping"/>
        <w:t xml:space="preserve">ing ‘in their turn.’ These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would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 trustworthy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like themselves).</w:t>
        <w:br w:type="textWrapping"/>
        <w:t xml:space="preserve">—The connexion of this verse with the</w:t>
        <w:br w:type="textWrapping"/>
        <w:t xml:space="preserve">foregoing and the following has been questioned. I believe it to be this: ‘The</w:t>
        <w:br w:type="textWrapping"/>
        <w:t xml:space="preserve">true keeping of the deposit entrusted to</w:t>
        <w:br w:type="textWrapping"/>
        <w:t xml:space="preserve">thee will involve thy handing it on unimpaired to others, who may in their turn</w:t>
        <w:br w:type="textWrapping"/>
        <w:t xml:space="preserve">hand it on again. But in order to this,</w:t>
        <w:br w:type="textWrapping"/>
        <w:t xml:space="preserve">thou must be strong in grace—thou must</w:t>
        <w:br w:type="textWrapping"/>
        <w:t xml:space="preserve">be a fellow-sufferer with me in hardships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7fb7TM+GCMK0TRSq7/9NlRz9A==">AMUW2mWj0otCjWsjeprX4bNflnVeQLO8H/WoITf9xyGMMXearRRgkIPP29g81ks0S4a69rDKjSMQGx6dSiojYy5ZALyabOcGGYeOHGS7ByOslPk2L9Qf5Cs=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