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habited his prison, and the doctrine ran</w:t>
        <w:br w:type="textWrapping"/>
        <w:t xml:space="preserve">with wings all over the world.”—The purpose of adding this seems to be, to remind</w:t>
        <w:br w:type="textWrapping"/>
        <w:t xml:space="preserve">Timothy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sufferings and imprison-</w:t>
        <w:br w:type="textWrapping"/>
        <w:t xml:space="preserve">ment had in no way weakened the power of</w:t>
        <w:br w:type="textWrapping"/>
        <w:t xml:space="preserve">the Gospel, or loosened the ties by which he</w:t>
        <w:br w:type="textWrapping"/>
        <w:t xml:space="preserve">[Timothy] was bound to the service of it).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 reason?</w:t>
        <w:br w:type="textWrapping"/>
        <w:t xml:space="preserve">“Because while I am bound the Gospel runneth,” says Bengel, and with this others</w:t>
        <w:br w:type="textWrapping"/>
        <w:t xml:space="preserve">agree. But neither 1) is this sound logic, nor</w:t>
        <w:br w:type="textWrapping"/>
        <w:t xml:space="preserve">2)is it in accordance with the Apostle’s usage</w:t>
        <w:br w:type="textWrapping"/>
        <w:t xml:space="preserve">of 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this cause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1) The fact, that the word of God is not</w:t>
        <w:br w:type="textWrapping"/>
        <w:t xml:space="preserve">bound, is clearly not the reason why he</w:t>
        <w:br w:type="textWrapping"/>
        <w:t xml:space="preserve">suffers these things for the elect: nor can</w:t>
        <w:br w:type="textWrapping"/>
        <w:t xml:space="preserve">we say with Huther,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consciousness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this fact is that in which he endures all.</w:t>
        <w:br w:type="textWrapping"/>
        <w:t xml:space="preserve">De Wette takes the predominant idea to</w:t>
        <w:br w:type="textWrapping"/>
        <w:t xml:space="preserve">be, the dispersion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God’s</w:t>
        <w:br w:type="textWrapping"/>
        <w:t xml:space="preserve">word, in and by which the Apostle is encouraged to suffer. But this would render</w:t>
        <w:br w:type="textWrapping"/>
        <w:t xml:space="preserve">the connexion very loose. 2) In 1 Tim. i.</w:t>
        <w:br w:type="textWrapping"/>
        <w:t xml:space="preserve">16, and Philem. 15, the reference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evidently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follows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compare also Rom. iv. 16, 2 Cor. xiii. 10.</w:t>
        <w:br w:type="textWrapping"/>
        <w:t xml:space="preserve">I would therefore refer the words to the</w:t>
        <w:br w:type="textWrapping"/>
        <w:t xml:space="preserve">following, and consider them, as in the</w:t>
        <w:br w:type="textWrapping"/>
        <w:t xml:space="preserve">above instances, as a marked way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indicating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reason presently to be given:</w:t>
        <w:br w:type="textWrapping"/>
        <w:t xml:space="preserve">‘for this purpose, ... that;’ so Chrysostom and others)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endure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merely suffer [objective]: but readiness</w:t>
        <w:br w:type="textWrapping"/>
        <w:t xml:space="preserve">and persistence [subjective] are implied</w:t>
        <w:br w:type="textWrapping"/>
        <w:t xml:space="preserve">in the word, and the universal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belongs to this subjective meaning—‘ I am</w:t>
        <w:br w:type="textWrapping"/>
        <w:t xml:space="preserve">enduring, ready to bear, all things’)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</w:t>
        <w:br w:type="textWrapping"/>
        <w:t xml:space="preserve">sake 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elect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especially Tit. i. 1.</w:t>
        <w:br w:type="textWrapping"/>
        <w:t xml:space="preserve">The Apostle does not refer merely to those</w:t>
        <w:br w:type="textWrapping"/>
        <w:t xml:space="preserve">elect of God who are not yet converted,</w:t>
        <w:br w:type="textWrapping"/>
        <w:t xml:space="preserve">but generally to the whole category, both</w:t>
        <w:br w:type="textWrapping"/>
        <w:t xml:space="preserve">those who are already turned to him, and</w:t>
        <w:br w:type="textWrapping"/>
        <w:t xml:space="preserve">those who are yet to be turned: compare</w:t>
        <w:br w:type="textWrapping"/>
        <w:t xml:space="preserve">the parallel declaration in Col. i. 24),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they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well as ourselves with reference to what is to follow, the certainty</w:t>
        <w:br w:type="textWrapping"/>
        <w:t xml:space="preserve">that we, who suffer with Him, shall reign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obtain the salvation which</w:t>
        <w:br w:type="textWrapping"/>
        <w:t xml:space="preserve">is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its element and condition of ex-</w:t>
        <w:br w:type="textWrapping"/>
        <w:t xml:space="preserve">istence)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Jesus with eternal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(salvation here, in its spiritual presence and</w:t>
        <w:br w:type="textWrapping"/>
        <w:t xml:space="preserve">power—“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grace ye have been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Eph. ii. 6: and glory hereafter, the full</w:t>
        <w:br w:type="textWrapping"/>
        <w:t xml:space="preserve">development and expansion of salvation,</w:t>
        <w:br w:type="textWrapping"/>
        <w:t xml:space="preserve">Rom. viii. 21).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Faithful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 the 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(another of those current Christian sayings,</w:t>
        <w:br w:type="textWrapping"/>
        <w:t xml:space="preserve">probably the utterances originally of the</w:t>
        <w:br w:type="textWrapping"/>
        <w:t xml:space="preserve">Spirit by those who spoke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Church—and, as in 1 Tim. iii. 16,</w:t>
        <w:br w:type="textWrapping"/>
        <w:t xml:space="preserve">bearing with it so much of balance and</w:t>
        <w:br w:type="textWrapping"/>
        <w:t xml:space="preserve">rhythmical arrangement, as to seem to be</w:t>
        <w:br w:type="textWrapping"/>
        <w:t xml:space="preserve">a portion of some hymn):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(Chrysostom</w:t>
        <w:br w:type="textWrapping"/>
        <w:t xml:space="preserve">and others regard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rendering</w:t>
        <w:br w:type="textWrapping"/>
        <w:t xml:space="preserve">a reason why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saying is 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understanding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faithful is the 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what has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gone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the certainty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who obtains salvation shall also win eternal</w:t>
        <w:br w:type="textWrapping"/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this is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natural.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merely explicative, but as in</w:t>
        <w:br w:type="textWrapping"/>
        <w:t xml:space="preserve">1 Tim. iv. 9, renders a reason for the assertion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saying is 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,—in the</w:t>
        <w:br w:type="textWrapping"/>
        <w:t xml:space="preserve">declaration of the fact in well-known words:</w:t>
        <w:br w:type="textWrapping"/>
        <w:t xml:space="preserve">for the fact is so, that if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we died</w:t>
        <w:br w:type="textWrapping"/>
        <w:t xml:space="preserve">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(pointing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one definite</w:t>
        <w:br w:type="textWrapping"/>
        <w:t xml:space="preserve">event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reference must be to that participation in Christ’s death which takes place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baptism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all those who are His, and</w:t>
        <w:br w:type="textWrapping"/>
        <w:t xml:space="preserve">which those who follow Him in sufferings</w:t>
        <w:br w:type="textWrapping"/>
        <w:t xml:space="preserve">emphatically shew that they then did really</w:t>
        <w:br w:type="textWrapping"/>
        <w:t xml:space="preserve">take on them: see Rom. vi. 3, 4,8: Col.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12, Certainly if the past tense stood</w:t>
        <w:br w:type="textWrapping"/>
        <w:t xml:space="preserve">alone, it might be taken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anticipatory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looking back on life from that future day</w:t>
        <w:br w:type="textWrapping"/>
        <w:t xml:space="preserve">in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be realized :</w:t>
        <w:br w:type="textWrapping"/>
        <w:t xml:space="preserve">but coupled as it is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  <w:br w:type="textWrapping"/>
        <w:t xml:space="preserve">endure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the future,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shall deny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we can hardly take it otherwise than literally as to time, of an event already past,</w:t>
        <w:br w:type="textWrapping"/>
        <w:t xml:space="preserve">and if so, strictly as in the parallel Rom.</w:t>
        <w:br w:type="textWrapping"/>
        <w:t xml:space="preserve">vi. 8, where the reference is clear),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shall</w:t>
        <w:br w:type="textWrapping"/>
        <w:t xml:space="preserve">also live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(hereafter in glory):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</w:t>
        <w:br w:type="textWrapping"/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endure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Him: see Rom. viii. 17),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shall also reign with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Rom.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17; viii. 17. In the former pair, death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08T21:25:45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11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wipIjPLx8g4jCtLWymhPwgXRbw==">CgMxLjAaJwoBMBIiCiAIBCocCgtBQUFBLXBQSWZEOBAIGgtBQUFBLXBQSWZEOCLoAQoLQUFBQS1wUElmRDgStgEKC0FBQUEtcFBJZkQ4EgtBQUFBLXBQSWZEOBoTCgl0ZXh0L2h0bWwSBnRhZyAxMSIUCgp0ZXh0L3BsYWluEgZ0YWcgMTEqGyIVMTEyNDk4NTc4MDg2NDkzODMyNDEwKAA4ADCL586GuzE4i+fOhrsxShYKCnRleHQvcGxhaW4SCEZhaXRoZnVsWgwxa3BlbHUycTltdmlyAiAAeACaAQYIABAAGACqAQgSBnRhZyAxMbABALgBABiL586GuzEgi+fOhrsxMABCEGtpeC4xcG1oOGg0YTN2bDA4AHIhMXZqX0tnYzBKNjRrOEtuQkNqRHZodDN6MGV3ejBXR3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