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urther in ungodliness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;” and it is in vain</w:t>
        <w:br w:type="textWrapping"/>
        <w:t xml:space="preserve">to deny that there is an apparent and</w:t>
        <w:br w:type="textWrapping"/>
        <w:t xml:space="preserve">literal inconsistency between the two assertions. But on looking further into them,</w:t>
        <w:br w:type="textWrapping"/>
        <w:t xml:space="preserve">it is manifest, that while there the Apostle</w:t>
        <w:br w:type="textWrapping"/>
        <w:t xml:space="preserve">is speaking of an immediate spread of error,</w:t>
        <w:br w:type="textWrapping"/>
        <w:t xml:space="preserve">here he is looking to its ultimate defeat,</w:t>
        <w:br w:type="textWrapping"/>
        <w:t xml:space="preserve">and extinction):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their folly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(unintelligent and senseless method of proselytizing</w:t>
        <w:br w:type="textWrapping"/>
        <w:t xml:space="preserve">and upholding their opinions—and indeed</w:t>
        <w:br w:type="textWrapping"/>
        <w:t xml:space="preserve">folly of those opinions themselves)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</w:t>
        <w:br w:type="textWrapping"/>
        <w:t xml:space="preserve">thoroughly manifested to all, as also that</w:t>
        <w:br w:type="textWrapping"/>
        <w:t xml:space="preserve">of those men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(Exod. viii. 18: ix. 11:</w:t>
        <w:br w:type="textWrapping"/>
        <w:t xml:space="preserve">but most probably the allusion is to their</w:t>
        <w:br w:type="textWrapping"/>
        <w:t xml:space="preserve">traditional end).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10—17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Contrast, by way of reminding</w:t>
        <w:br w:type="textWrapping"/>
        <w:t xml:space="preserve">and exhortation, of the education, know-</w:t>
        <w:br w:type="textWrapping"/>
        <w:t xml:space="preserve">ledge, and life of Timothy, with the cha-</w:t>
        <w:br w:type="textWrapping"/>
        <w:t xml:space="preserve">racter just drawn of the opponents.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  <w:br w:type="textWrapping"/>
        <w:t xml:space="preserve">thou followedst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(‘followedst thy pattern?’</w:t>
        <w:br w:type="textWrapping"/>
        <w:t xml:space="preserve">“it was my example in all these things which</w:t>
        <w:br w:type="textWrapping"/>
        <w:t xml:space="preserve">was set before thee as thy guide—thou wert:</w:t>
        <w:br w:type="textWrapping"/>
        <w:t xml:space="preserve">a follower of me, as I of Christ.’ The in-</w:t>
        <w:br w:type="textWrapping"/>
        <w:t xml:space="preserve">definite past tense is both less obvious and</w:t>
        <w:br w:type="textWrapping"/>
        <w:t xml:space="preserve">more appropriate than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example set before him, and the</w:t>
        <w:br w:type="textWrapping"/>
        <w:t xml:space="preserve">reminiscence joined to the exhortation of</w:t>
        <w:br w:type="textWrapping"/>
        <w:t xml:space="preserve">ver. 14, bears something of reproach with</w:t>
        <w:br w:type="textWrapping"/>
        <w:t xml:space="preserve">it, which is quite in accordance with what</w:t>
        <w:br w:type="textWrapping"/>
        <w:t xml:space="preserve">we have reason to infer from the general</w:t>
        <w:br w:type="textWrapping"/>
        <w:t xml:space="preserve">tone of the Epistle. Whereas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A. V., would imply that the example had been really ever before him,</w:t>
        <w:br w:type="textWrapping"/>
        <w:t xml:space="preserve">and followed up to the present moment:</w:t>
        <w:br w:type="textWrapping"/>
        <w:t xml:space="preserve">and so would weaken the necessity of</w:t>
        <w:br w:type="textWrapping"/>
        <w:t xml:space="preserve">the exhortation)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teaching, conduct,</w:t>
        <w:br w:type="textWrapping"/>
        <w:t xml:space="preserve">purpose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(Ellicott remarks, that in all</w:t>
        <w:br w:type="textWrapping"/>
        <w:t xml:space="preserve">other passages in St. Paul’s Epistles, this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used with reference to</w:t>
        <w:br w:type="textWrapping"/>
        <w:t xml:space="preserve">God),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faith, longsuffering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(“his bearing</w:t>
        <w:br w:type="textWrapping"/>
        <w:t xml:space="preserve">with the offences of the brethren,” Theodoret: or perhaps, as Chrysostom,—“his</w:t>
        <w:br w:type="textWrapping"/>
        <w:t xml:space="preserve">patience in respect of the false teachers and</w:t>
        <w:br w:type="textWrapping"/>
        <w:t xml:space="preserve">the troubles of the time”),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(“which</w:t>
        <w:br w:type="textWrapping"/>
        <w:t xml:space="preserve">they had not,” Chrysostom),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patience: “how generously I bear the</w:t>
        <w:br w:type="textWrapping"/>
        <w:t xml:space="preserve">attacks of my enemies,” 'heodoret),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persecutions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(“to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furnished the</w:t>
        <w:br w:type="textWrapping"/>
        <w:t xml:space="preserve">note of transition,”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uther),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only was I persecuted, but the persecution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issued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infliction of suffering),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(suf-</w:t>
        <w:br w:type="textWrapping"/>
        <w:t xml:space="preserve">ferings)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befell mein Antioch (of Pisidia),</w:t>
        <w:br w:type="textWrapping"/>
        <w:t xml:space="preserve">in Iconium, in Lystra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(why should these</w:t>
        <w:br w:type="textWrapping"/>
        <w:t xml:space="preserve">be especially enumerated? Theodoret as-</w:t>
        <w:br w:type="textWrapping"/>
        <w:t xml:space="preserve">signs as a reason, “ Omitting mention of</w:t>
        <w:br w:type="textWrapping"/>
        <w:t xml:space="preserve">other dangers, he speaks only of those which</w:t>
        <w:br w:type="textWrapping"/>
        <w:t xml:space="preserve">happened to him in Pisidia and Lycaonia.</w:t>
        <w:br w:type="textWrapping"/>
        <w:t xml:space="preserve">For he to whom he was writing was a 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aonian, and these incidents were better</w:t>
        <w:br w:type="textWrapping"/>
        <w:t xml:space="preserve">known to him than the rest.” And so</w:t>
        <w:br w:type="textWrapping"/>
        <w:t xml:space="preserve">Chrysostom, and many both ancient and</w:t>
        <w:br w:type="textWrapping"/>
        <w:t xml:space="preserve">modern, It may be so, doubtless: and</w:t>
        <w:br w:type="textWrapping"/>
        <w:t xml:space="preserve">this reason, though rejected by De Wette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 much better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context and probability, than the other, given</w:t>
        <w:br w:type="textWrapping"/>
        <w:t xml:space="preserve">by Huther, that these persecutions were the</w:t>
        <w:br w:type="textWrapping"/>
        <w:t xml:space="preserve">first which befell the Apostle in his missionary work among the heathen. It is objected</w:t>
        <w:br w:type="textWrapping"/>
        <w:t xml:space="preserve">to it, that during the former of these persecutions Timothy was not with St. Paul.</w:t>
        <w:br w:type="textWrapping"/>
        <w:t xml:space="preserve">But the answer to that is easy. At the</w:t>
        <w:br w:type="textWrapping"/>
        <w:t xml:space="preserve">time of his conversion, they were recent,</w:t>
        <w:br w:type="textWrapping"/>
        <w:t xml:space="preserve">and the talk of the churches in those parts:</w:t>
        <w:br w:type="textWrapping"/>
        <w:t xml:space="preserve">and thus, especially with our rendering,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past sense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followedst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would be naturally mentioned,</w:t>
        <w:br w:type="textWrapping"/>
        <w:t xml:space="preserve">as being those sufferings of the Apostle</w:t>
        <w:br w:type="textWrapping"/>
        <w:t xml:space="preserve">which first excited the young convert’s</w:t>
        <w:br w:type="textWrapping"/>
        <w:t xml:space="preserve">attention to make them his own pattern of</w:t>
        <w:br w:type="textWrapping"/>
        <w:t xml:space="preserve">what he too must suffer for the Gospel’s</w:t>
        <w:br w:type="textWrapping"/>
        <w:t xml:space="preserve">sake. Baur and De Wette regard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exact correspondence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Acts (xiii.</w:t>
        <w:br w:type="textWrapping"/>
        <w:t xml:space="preserve">50; xiv. 5, 19; xvi. 3] as a suspicious cir-</w:t>
        <w:br w:type="textWrapping"/>
        <w:t xml:space="preserve">cumstance. Wiesinger well asks, would</w:t>
        <w:br w:type="textWrapping"/>
        <w:t xml:space="preserve">they have regarded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discrepancy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  <w:br w:type="textWrapping"/>
        <w:t xml:space="preserve">Acts as a mark of genuineness?);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  <w:br w:type="textWrapping"/>
        <w:t xml:space="preserve">persecutions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persecutions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  <w:br w:type="textWrapping"/>
        <w:t xml:space="preserve">understand, ‘thou sawest ; in proposing to</w:t>
        <w:br w:type="textWrapping"/>
        <w:t xml:space="preserve">thyself a pattern thou hadst before thee</w:t>
        <w:br w:type="textWrapping"/>
        <w:t xml:space="preserve">. .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underwent: and out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all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Lord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09T12:38:2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VU2uZTijJ4ddTjWE5AI3wjkgqw==">AMUW2mUm+NYCFD76xKyTz5buc8ZFyJs0eewr1QR745m+IvSCMEH01yPcbUuOj04nN+ilS45A4QWdDdHsqciXJmW1IghEEHOWPkiwRm+0pYCZ9lHjH9fWZnt+LTP57BDU5ZM10SpWvtECKOl4pDMfIUWkcC2FQkDe90HDfIm+whuzt2+WvMmsYeQaDuNbQNCvh4DT3me6Zxpn2lm7ITc1YEDpkQ/S2h2tVkU/B6tnbu4f1MuaTieI3r5qR5RcbHrb9cueTCyynYncgsfNlO0XBTLN+YAu8y8oAHp9DgQaiZ498aojOEsnrR1q7Jwy2oT5rPCT1bBa/M73e2WMPAC5n5FA7YNeLiSQjBfmiGnfCwUKzPKpfXdXhrB85oBugtEEa+v7dWsIZdp5Ja2jU7w6w2CigXgj5yLHbWbbwjCDxO0Om+gVnsDDm79tORZ3rOnrFpK8dycj6r+6wEFeqCjpFGZgP81BoP5p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