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 it too near in meaning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sound</w:t>
        <w:br w:type="textWrapping"/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healthy 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gravity,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its contents</w:t>
        <w:br w:type="textWrapping"/>
        <w:t xml:space="preserve">and import)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healthy, not to be condemned;</w:t>
        <w:br w:type="textWrapping"/>
        <w:t xml:space="preserve">that he of the opposite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heathen</w:t>
        <w:br w:type="textWrapping"/>
        <w:t xml:space="preserve">or Jewish adversaries of the Gospel, among</w:t>
        <w:br w:type="textWrapping"/>
        <w:t xml:space="preserve">whom they dwelt)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ashamed, having</w:t>
        <w:br w:type="textWrapping"/>
        <w:t xml:space="preserve">nothing to say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(Christians: not ‘me</w:t>
        <w:br w:type="textWrapping"/>
        <w:t xml:space="preserve">and thee’) (that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our acts: this</w:t>
        <w:br w:type="textWrapping"/>
        <w:t xml:space="preserve">peculiar word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never used of</w:t>
        <w:br w:type="textWrapping"/>
        <w:t xml:space="preserve">words in the New Test., but always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‘having no ‘evil thing to report</w:t>
        <w:br w:type="textWrapping"/>
        <w:t xml:space="preserve">of us’—no evil, whether seen in our demeanour, or arising from our teaching).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(Exhort)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Slaves to be in subjection to their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 on ver. 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masters, in all things to give satisfaction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servants’ own phrase among</w:t>
        <w:br w:type="textWrapping"/>
        <w:t xml:space="preserve">ourselves, expresses perhaps better than</w:t>
        <w:br w:type="textWrapping"/>
        <w:t xml:space="preserve">any other the meaning.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be acceptable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would seem to bring the slave too</w:t>
        <w:br w:type="textWrapping"/>
        <w:t xml:space="preserve">near to the position of a friend);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contradicting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wide sense, not merely</w:t>
        <w:br w:type="textWrapping"/>
        <w:t xml:space="preserve">in words. In John xix. 12, “speaketh</w:t>
        <w:br w:type="textWrapping"/>
        <w:t xml:space="preserve">against Cæsar,” the same 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purloining, but manifesting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 faith; that they may adorn in</w:t>
        <w:br w:type="textWrapping"/>
        <w:t xml:space="preserve">all things the doctrine of our Saviour,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1 Tim.i.1. Not Christ, but.</w:t>
        <w:br w:type="textWrapping"/>
        <w:t xml:space="preserve">the Father is meant: in that place the</w:t>
        <w:br w:type="textWrapping"/>
        <w:t xml:space="preserve">distinction is clearly made, On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‘adorning’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Calvin remarks, “This circumstance is to be noted, that God deigns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adornment from slaves, whose</w:t>
        <w:br w:type="textWrapping"/>
        <w:t xml:space="preserve">condition was so vile and abject that they</w:t>
        <w:br w:type="textWrapping"/>
        <w:t xml:space="preserve">were not commonly reckoned among men</w:t>
        <w:br w:type="textWrapping"/>
        <w:t xml:space="preserve">at all. For he does not mean servants,</w:t>
        <w:br w:type="textWrapping"/>
        <w:t xml:space="preserve">such as we now use, but bond-slaves, which</w:t>
        <w:br w:type="textWrapping"/>
        <w:t xml:space="preserve">were bought in the market like oxen and</w:t>
        <w:br w:type="textWrapping"/>
        <w:t xml:space="preserve">horses, And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 is an ornament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Christian name, much more let</w:t>
        <w:br w:type="textWrapping"/>
        <w:t xml:space="preserve">those who are in honour see that they</w:t>
        <w:br w:type="textWrapping"/>
        <w:t xml:space="preserve">defile it not by their turpitude”),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11—15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 of the above exhortations in the moral purpose of the Gospel</w:t>
        <w:br w:type="textWrapping"/>
        <w:t xml:space="preserve">respecting us (11—14): and consequent</w:t>
        <w:br w:type="textWrapping"/>
        <w:t xml:space="preserve">exhortation to Titus (15).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(reasons for the above exhortations from ver. 1: not as Chrysostom and</w:t>
        <w:br w:type="textWrapping"/>
        <w:t xml:space="preserve">others, only for vv. 9,10. The latter clause</w:t>
        <w:br w:type="textWrapping"/>
        <w:t xml:space="preserve">of ver. 10, it is true, gives occasion to this</w:t>
        <w:br w:type="textWrapping"/>
        <w:t xml:space="preserve">declaration; but the reference of these</w:t>
        <w:br w:type="textWrapping"/>
        <w:t xml:space="preserve">verses is far wider than merely to slaves)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grace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(that divine favour to</w:t>
        <w:br w:type="textWrapping"/>
        <w:t xml:space="preserve">men, of which the whole process of Redemption was a proof: not to be limited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Christ’s Incarnation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though certainly</w:t>
        <w:br w:type="textWrapping"/>
        <w:t xml:space="preserve">this may be said for that interpretation,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regarded as a term</w:t>
        <w:br w:type="textWrapping"/>
        <w:t xml:space="preserve">inclusive of all the blessings of Redemption: but it does not follow, that of two</w:t>
        <w:br w:type="textWrapping"/>
        <w:t xml:space="preserve">such inclusive terms, the one may be substituted for the other)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manifested</w:t>
        <w:br w:type="textWrapping"/>
        <w:t xml:space="preserve">bringing salvation to all 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all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follows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bringing salvation,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not</w:t>
        <w:br w:type="textWrapping"/>
        <w:t xml:space="preserve">as in A.V,,“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manifested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Thus we have</w:t>
        <w:br w:type="textWrapping"/>
        <w:t xml:space="preserve">“the Saviour of all men,” 1 Tim. iv. 10:</w:t>
        <w:br w:type="textWrapping"/>
        <w:t xml:space="preserve">see also ib. ii. 4),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disciplining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</w:t>
        <w:br w:type="textWrapping"/>
        <w:t xml:space="preserve">on 1 Tim. i. 20. There is no need to depart from the universal New Testament</w:t>
        <w:br w:type="textWrapping"/>
        <w:t xml:space="preserve">sense of this word, and soften it into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the education which the</w:t>
        <w:br w:type="textWrapping"/>
        <w:t xml:space="preserve">Christian man receives from the grace of</w:t>
        <w:br w:type="textWrapping"/>
        <w:t xml:space="preserve">God, is a discipline, properly so called, of</w:t>
        <w:br w:type="textWrapping"/>
        <w:t xml:space="preserve">self-denial and training in godliness, accompanied therefore with much mortification and punitive treatment),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 the ordinary rendering,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  <w:br w:type="textWrapping"/>
        <w:t xml:space="preserve">us, that,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we make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introduce merely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teaching, whereas this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hdzUyRKabku2J29cjiqD1+YESw==">AMUW2mWR1u263YKvzme62vyOmC3YfDfV+GuaXaF1XupcJz7xvU0q7TaNlKrE6grSuT+/1ga0vwvX0noj8D/vDIAChbfr9Qf1QE/SHSGh2Q1Q5tIJVTaCpAs=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