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below, and refers back to the last verse.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usual, the element in</w:t>
        <w:br w:type="textWrapping"/>
        <w:t xml:space="preserve">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found place.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is fitting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delicate hint, that</w:t>
        <w:br w:type="textWrapping"/>
        <w:t xml:space="preserve">the reception of Onesimus was to be classed</w:t>
        <w:br w:type="textWrapping"/>
        <w:t xml:space="preserve">under this category.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love's</w:t>
        <w:br w:type="textWrapping"/>
        <w:t xml:space="preserve">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is not to be restricted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thy</w:t>
        <w:br w:type="textWrapping"/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(of ver. 7),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mutual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but is quite general-—‘ that Christian love,</w:t>
        <w:br w:type="textWrapping"/>
        <w:t xml:space="preserve">of which thou shewest so bright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ple:’ ver. 7.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 . .] reason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rather—‘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prefer this way, as</w:t>
        <w:br w:type="textWrapping"/>
        <w:t xml:space="preserve">the more efficacious, being such an one,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 believe Meyer is right in maintaining that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cannot be</w:t>
        <w:br w:type="textWrapping"/>
        <w:t xml:space="preserve">taken as preparatory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an</w:t>
        <w:br w:type="textWrapping"/>
        <w:t xml:space="preserve">one, as...,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in A. V.,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 have therefore punctuated accordingly,</w:t>
        <w:br w:type="textWrapping"/>
        <w:t xml:space="preserve">as has Ellie. The rendering will be: 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eing</w:t>
        <w:br w:type="textWrapping"/>
        <w:t xml:space="preserve">such an 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declared in the preferring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beseeching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love’s sake to commanding)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Paul the aged,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a</w:t>
        <w:br w:type="textWrapping"/>
        <w:t xml:space="preserve">prisoner also of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fact of</w:t>
        <w:br w:type="textWrapping"/>
        <w:t xml:space="preserve">his calling himself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Paul the aged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interesting, as connected with the date</w:t>
        <w:br w:type="textWrapping"/>
        <w:t xml:space="preserve">of this Epistle and those to Eph. and Col.:</w:t>
        <w:br w:type="textWrapping"/>
        <w:t xml:space="preserve">see Introd. to Eph. § iv.),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beseech thee,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‘The English reader must</w:t>
        <w:br w:type="textWrapping"/>
        <w:t xml:space="preserve">be informed that the name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Onesimus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signifies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here, as beyond</w:t>
        <w:br w:type="textWrapping"/>
        <w:t xml:space="preserve">doubt in ver. 20, there certainly appears</w:t>
        <w:br w:type="textWrapping"/>
        <w:t xml:space="preserve">to be a play on the name, although for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unprofitable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does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here use the same root as occurs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Onesimus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ver. 20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He had been</w:t>
        <w:br w:type="textWrapping"/>
        <w:t xml:space="preserve">unprofitable in having run away, and apparently (ver. 18) defrauded his master as</w:t>
        <w:br w:type="textWrapping"/>
        <w:t xml:space="preserve">well.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not be limited</w:t>
        <w:br w:type="textWrapping"/>
        <w:t xml:space="preserve">to the sense of outward profit, but extended</w:t>
        <w:br w:type="textWrapping"/>
        <w:t xml:space="preserve">to a spiritual meaning as well—profitable</w:t>
        <w:br w:type="textWrapping"/>
        <w:t xml:space="preserve">to me, as the fruit of my ministry,—to</w:t>
        <w:br w:type="textWrapping"/>
        <w:t xml:space="preserve">thee as a servant, and also as a Christian</w:t>
        <w:br w:type="textWrapping"/>
        <w:t xml:space="preserve">brother (ver. 16).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mine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bowels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does not appear to</w:t>
        <w:br w:type="textWrapping"/>
        <w:t xml:space="preserve">be any allusion to the fact of sonship in</w:t>
        <w:br w:type="textWrapping"/>
        <w:t xml:space="preserve">this figure, as Chrysostom and Theodoret</w:t>
        <w:br w:type="textWrapping"/>
        <w:t xml:space="preserve">think: for thus the spiritual similitude</w:t>
        <w:br w:type="textWrapping"/>
        <w:t xml:space="preserve">would be confused, being here introduced</w:t>
        <w:br w:type="textWrapping"/>
        <w:t xml:space="preserve">materially. But the expression more probably means,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mine own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—‘as dear</w:t>
        <w:br w:type="textWrapping"/>
        <w:t xml:space="preserve">to me as mine own heart.’ As to the construction (see var. readd.), it is an anacoluthon: the Apostle goes off into the relative clause, and loses sight, as so often,</w:t>
        <w:br w:type="textWrapping"/>
        <w:t xml:space="preserve">of the construction with which he began:</w:t>
        <w:br w:type="textWrapping"/>
        <w:t xml:space="preserve">taking it up again at ver. 17.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emphatic,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I, for my part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thy</w:t>
        <w:br w:type="textWrapping"/>
        <w:t xml:space="preserve">stead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 For, wert thou here, thou wouldst.</w:t>
        <w:br w:type="textWrapping"/>
        <w:t xml:space="preserve">minister to me: I was minded therefore</w:t>
        <w:br w:type="textWrapping"/>
        <w:t xml:space="preserve">to retain him in thy place.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bonds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Explained well by</w:t>
        <w:br w:type="textWrapping"/>
        <w:t xml:space="preserve">Theodoret, “Thou owest me service as a</w:t>
        <w:br w:type="textWrapping"/>
        <w:t xml:space="preserve">disciple to a master, and a master who</w:t>
        <w:br w:type="textWrapping"/>
        <w:t xml:space="preserve">preaches divine things:” not without</w:t>
        <w:br w:type="textWrapping"/>
        <w:t xml:space="preserve">allusion also to the fetters which the</w:t>
        <w:br w:type="textWrapping"/>
        <w:t xml:space="preserve">Gospel had laid on himself.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eWL5UBtBco1VcgSf8+gRnSvW4Q==">AMUW2mXU/2/jb7XhShm/rS8Gl3tl23dL28BbyvJZ1aj9wUjinrdt5PZjvM4jtw3AxNqgAeEAmJTqzKPPjY542wt5y0vtNlqOHf4jgMCxoCIFAKpaxwCz7z4=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