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doubting thee, but not wishing to press on</w:t>
        <w:br w:type="textWrapping"/>
        <w:t xml:space="preserve">thee all the claim that I might justly urge.’</w:t>
        <w:br w:type="textWrapping"/>
        <w:t xml:space="preserve">And this may well be the right view.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thine own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thy goods</w:t>
        <w:br w:type="textWrapping"/>
        <w:t xml:space="preserve">merely. This shews that Philemon had</w:t>
        <w:br w:type="textWrapping"/>
        <w:t xml:space="preserve">been converted by St. Paul in person.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Yea, as so often when we make</w:t>
        <w:br w:type="textWrapping"/>
        <w:t xml:space="preserve">requests, asserts our assent with the subject</w:t>
        <w:br w:type="textWrapping"/>
        <w:t xml:space="preserve">of the request: so Phil. iv. 3, and elsewhere,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both emphatic—and</w:t>
        <w:br w:type="textWrapping"/>
        <w:t xml:space="preserve">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onaimén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above</w:t>
        <w:br w:type="textWrapping"/>
        <w:t xml:space="preserve">on ver. 11) is an evident allusion to the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Onesimus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sentiment itself is a</w:t>
        <w:br w:type="textWrapping"/>
        <w:t xml:space="preserve">reference to what had just been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owest thine own self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:”—this being</w:t>
        <w:br w:type="textWrapping"/>
        <w:t xml:space="preserve">so, let me have profit of thee: yet not</w:t>
        <w:br w:type="textWrapping"/>
        <w:t xml:space="preserve">in worldly gain, but in the Lord—in thine</w:t>
        <w:br w:type="textWrapping"/>
        <w:t xml:space="preserve">increase and richness in the graces of</w:t>
        <w:br w:type="textWrapping"/>
        <w:t xml:space="preserve">His Spirit.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refresh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(viz, by acceding</w:t>
        <w:br w:type="textWrapping"/>
        <w:t xml:space="preserve">to my request)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above—the</w:t>
        <w:br w:type="textWrapping"/>
        <w:t xml:space="preserve">seat of the affections)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serves to 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Philemon in mind of the apostolic authority with which he writes: and hints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delicately (perhaps: but this may be</w:t>
        <w:br w:type="textWrapping"/>
        <w:t xml:space="preserve">doubtful) at the manumission of Onesimus,</w:t>
        <w:br w:type="textWrapping"/>
        <w:t xml:space="preserve">which he has not yet requested.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at the same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thou fulfillest my request)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... We may,</w:t>
        <w:br w:type="textWrapping"/>
        <w:t xml:space="preserve">perhaps, take this direction as serving to</w:t>
        <w:br w:type="textWrapping"/>
        <w:t xml:space="preserve">secure the favourable reception of Onesimus: for the Apostle would himself come</w:t>
        <w:br w:type="textWrapping"/>
        <w:t xml:space="preserve">and see how his request had fared. “For</w:t>
        <w:br w:type="textWrapping"/>
        <w:t xml:space="preserve">great would be the favour and honour</w:t>
        <w:br w:type="textWrapping"/>
        <w:t xml:space="preserve">shewn by Paul’s visit, Paul after his</w:t>
        <w:br w:type="textWrapping"/>
        <w:t xml:space="preserve">accession of years, Paul after his bonds,”</w:t>
        <w:br w:type="textWrapping"/>
        <w:t xml:space="preserve">Chrysostom. Or it may be, as Ellicott,</w:t>
        <w:br w:type="textWrapping"/>
        <w:t xml:space="preserve">that Philemon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to consider the</w:t>
        <w:br w:type="textWrapping"/>
        <w:t xml:space="preserve">Epistle as a mere petition for Onesimus,</w:t>
        <w:br w:type="textWrapping"/>
        <w:t xml:space="preserve">but as containing special messages on other</w:t>
        <w:br w:type="textWrapping"/>
        <w:t xml:space="preserve">matters to himself.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</w:t>
        <w:br w:type="textWrapping"/>
        <w:t xml:space="preserve">to those named in vv. 1, 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23—25.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on Col. iy. 10, 12, 14,</w:t>
        <w:br w:type="textWrapping"/>
        <w:t xml:space="preserve">where the same persons send greeting.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called Justus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(Col. iv. 11) does not</w:t>
        <w:br w:type="textWrapping"/>
        <w:t xml:space="preserve">appear here.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all matters</w:t>
        <w:br w:type="textWrapping"/>
        <w:t xml:space="preserve">regarding the date and circumstances of</w:t>
        <w:br w:type="textWrapping"/>
        <w:t xml:space="preserve">writing the Epistle, see the Introduction.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tRiEVz8tOT6INO9il3lviMgX/Q==">AMUW2mX2mNjkuzkDaQdSWt2mkXFe6x30AwV6bl4gPy5e+Q5jURNGnEkZ22k/teJ52wARFGaJUQupuxncDLZeUAfcKu/PD+QAUaF4W+msje/Voq/SXKrnQKQ=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