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me, Thou art my Father.... Also I</w:t>
        <w:br w:type="textWrapping"/>
        <w:t xml:space="preserve">will make him my firstborn, higher than</w:t>
        <w:br w:type="textWrapping"/>
        <w:t xml:space="preserve">the kings of the earth’]:—namely, by</w:t>
        <w:br w:type="textWrapping"/>
        <w:t xml:space="preserve">setting Thee on the throne of my people:</w:t>
        <w:br w:type="textWrapping"/>
        <w:t xml:space="preserve">and 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most naturally</w:t>
        <w:br w:type="textWrapping"/>
        <w:t xml:space="preserve">be referred to the time of the anointing of</w:t>
        <w:br w:type="textWrapping"/>
        <w:t xml:space="preserve">the King on Zion, as the act whereby he</w:t>
        <w:br w:type="textWrapping"/>
        <w:t xml:space="preserve">was manifested as Son of God in this</w:t>
        <w:br w:type="textWrapping"/>
        <w:t xml:space="preserve">sense.” And so Calvin. The above remarks seem pertinent and unobjectionable,</w:t>
        <w:br w:type="textWrapping"/>
        <w:t xml:space="preserve">as long as we regard them as explaining</w:t>
        <w:br w:type="textWrapping"/>
        <w:t xml:space="preserve">the supposed immediate reference to David</w:t>
        <w:br w:type="textWrapping"/>
        <w:t xml:space="preserve">and present circumstances: but it is plain</w:t>
        <w:br w:type="textWrapping"/>
        <w:t xml:space="preserve">that, according to the above view of Ps. ii.,</w:t>
        <w:br w:type="textWrapping"/>
        <w:t xml:space="preserve">and indeed to the usage of the New Test.,</w:t>
        <w:br w:type="textWrapping"/>
        <w:t xml:space="preserve">in applying this passage to our Lord, we </w:t>
        <w:br w:type="textWrapping"/>
        <w:t xml:space="preserve">want another and a higher sense in which</w:t>
        <w:br w:type="textWrapping"/>
        <w:t xml:space="preserve">both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have begotten,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  <w:br w:type="textWrapping"/>
        <w:t xml:space="preserve">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applicable to Him : a sense in</w:t>
        <w:br w:type="textWrapping"/>
        <w:t xml:space="preserve">which I should be disposed to say that the</w:t>
        <w:br w:type="textWrapping"/>
        <w:t xml:space="preserve">words must in their fulness of meaning be</w:t>
        <w:br w:type="textWrapping"/>
        <w:t xml:space="preserve">taken, to the neglect and almost the obliteration of that their supposed lower reference. For, granting the application of</w:t>
        <w:br w:type="textWrapping"/>
        <w:t xml:space="preserve">such sayings to our Lord, then must the</w:t>
        <w:br w:type="textWrapping"/>
        <w:t xml:space="preserve">terms of them, suggested by the Holy</w:t>
        <w:br w:type="textWrapping"/>
        <w:t xml:space="preserve">Spirit of prophecy, which is His testimony,</w:t>
        <w:br w:type="textWrapping"/>
        <w:t xml:space="preserve">bear adequate interpretations as regards</w:t>
        <w:br w:type="textWrapping"/>
        <w:t xml:space="preserve">His person and office. It has not therefore been without reason that the Fathers, and so many modern divines, have found</w:t>
        <w:br w:type="textWrapping"/>
        <w:t xml:space="preserve">in this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have begotten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doctrine</w:t>
        <w:br w:type="textWrapping"/>
        <w:t xml:space="preserve">of the generation of the Son of God, and</w:t>
        <w:br w:type="textWrapping"/>
        <w:t xml:space="preserve">have endeavoured, in accordance with such</w:t>
        <w:br w:type="textWrapping"/>
        <w:t xml:space="preserve">reference, to assign a fitting sense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As the subject is exceedingly important, and has been generally passed over slightly by our English expositors, I shall</w:t>
        <w:br w:type="textWrapping"/>
        <w:t xml:space="preserve">need no apology for gathering from Bleck</w:t>
        <w:br w:type="textWrapping"/>
        <w:t xml:space="preserve">and Snuicer the opinions and testimonies</w:t>
        <w:br w:type="textWrapping"/>
        <w:t xml:space="preserve">concerning it. 1) One view refers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eternal generation of the Son,</w:t>
        <w:br w:type="textWrapping"/>
        <w:t xml:space="preserve">and regards it as an expression of the everlasting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eternity. Thus Origen very grandly says, “This is said to Him by</w:t>
        <w:br w:type="textWrapping"/>
        <w:t xml:space="preserve">God, with whom ‘to-day’ ever is present: </w:t>
        <w:br w:type="textWrapping"/>
        <w:t xml:space="preserve">for with God, as I think, is no evening,</w:t>
        <w:br w:type="textWrapping"/>
        <w:t xml:space="preserve">because neither is there morning, but the</w:t>
        <w:br w:type="textWrapping"/>
        <w:t xml:space="preserve">time which reaches, so to speak, over His</w:t>
        <w:br w:type="textWrapping"/>
        <w:t xml:space="preserve">unbegotten and eternal life, is an everlasting ‘to-day,’ in which the Son is</w:t>
        <w:br w:type="textWrapping"/>
        <w:t xml:space="preserve">begotten: no beginning of His being begotten being found, as neither of this</w:t>
        <w:br w:type="textWrapping"/>
        <w:t xml:space="preserve">‘to-day.’” And so Athanasius, Augustine,</w:t>
        <w:br w:type="textWrapping"/>
        <w:t xml:space="preserve">and other Fathers and moderns. 2) A second, to the generation,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time,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Incarnate Son of Man, when Jesus assumed</w:t>
        <w:br w:type="textWrapping"/>
        <w:t xml:space="preserve">the divine nature on the side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anhood also: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Chrysostom, Theodoret,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Eusebius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Cyril Alex., and others. 3) A</w:t>
        <w:br w:type="textWrapping"/>
        <w:t xml:space="preserve">third, to the period when Jesus was manifested to men as the Son of God,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most, to the time of the Resurrection, with</w:t>
        <w:br w:type="textWrapping"/>
        <w:t xml:space="preserve">reference to Acts xiii. 33, where St. Paul</w:t>
        <w:br w:type="textWrapping"/>
        <w:t xml:space="preserve">alleges this citation as thus applying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recently, Delitzsch]: by some, to that of</w:t>
        <w:br w:type="textWrapping"/>
        <w:t xml:space="preserve">the Ascension, when He was set at the</w:t>
        <w:br w:type="textWrapping"/>
        <w:t xml:space="preserve">right hand of God and entered on His</w:t>
        <w:br w:type="textWrapping"/>
        <w:t xml:space="preserve">heavenly High Priesthood [ch. v. 5]: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ilary, Ambrose, Calvin, Grotius,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Socinians. Owen also takes the same</w:t>
        <w:br w:type="textWrapping"/>
        <w:t xml:space="preserve">view [“the eternal generation of Christ,</w:t>
        <w:br w:type="textWrapping"/>
        <w:t xml:space="preserve">on which His filiation or sonship, both name</w:t>
        <w:br w:type="textWrapping"/>
        <w:t xml:space="preserve">and thing, doth depend, is to be taken</w:t>
        <w:br w:type="textWrapping"/>
        <w:t xml:space="preserve">only declaratively, and that declaration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made in His 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rrection, and exaltation over all, that ensued thereon”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interpretations, I agree with Bleck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which best agrees</w:t>
        <w:br w:type="textWrapping"/>
        <w:t xml:space="preserve">with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context. The former verses represent to us the Son of God as 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relation to the Father before the</w:t>
        <w:br w:type="textWrapping"/>
        <w:t xml:space="preserve">worlds: and ver. 6, which plainly forms a</w:t>
        <w:br w:type="textWrapping"/>
        <w:t xml:space="preserve">contrast to this ver. 5 as to time, treats</w:t>
        <w:br w:type="textWrapping"/>
        <w:t xml:space="preserve">distinctly of the period of the Incarnation.</w:t>
        <w:br w:type="textWrapping"/>
        <w:t xml:space="preserve">It is natural then to suppose that this</w:t>
        <w:br w:type="textWrapping"/>
        <w:t xml:space="preserve">verse is to be referred to a time prior to</w:t>
        <w:br w:type="textWrapping"/>
        <w:t xml:space="preserve">that event) 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 is the ellipsis</w:t>
        <w:br w:type="textWrapping"/>
        <w:t xml:space="preserve">here to be supplied? Probably,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whom of the angels ever said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or perhaps,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6]</w:t>
        <w:br w:type="textWrapping"/>
        <w:t xml:space="preserve">merely serves to introduce a fresh citation),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be to Him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father,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be to me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citation</w:t>
        <w:br w:type="textWrapping"/>
        <w:t xml:space="preserve">is from the Septuagint, as usual. It occurs in the prophecy of Nathan to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David's offspring who should</w:t>
        <w:br w:type="textWrapping"/>
        <w:t xml:space="preserve">come after him. The import of it has been</w:t>
        <w:br w:type="textWrapping"/>
        <w:t xml:space="preserve">above considered, and its connexion with</w:t>
        <w:br w:type="textWrapping"/>
        <w:t xml:space="preserve">Ps. ii. shown to be probable. The direc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primary reference of the words to Solomon,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Chron. xxii.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does not in any way</w:t>
        <w:br w:type="textWrapping"/>
        <w:t xml:space="preserve">preclude the view which I have there</w:t>
        <w:br w:type="textWrapping"/>
        <w:t xml:space="preserve">taken of their finding their higher and</w:t>
        <w:br w:type="textWrapping"/>
        <w:t xml:space="preserve">only worthy fulfilment in the greater Son</w:t>
        <w:br w:type="textWrapping"/>
        <w:t xml:space="preserve">of David, who should build the only Temple</w:t>
        <w:br w:type="textWrapping"/>
        <w:t xml:space="preserve">in which God would really dwell)?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a further proof, and a more</w:t>
        <w:br w:type="textWrapping"/>
        <w:t xml:space="preserve">decisive one as regards the angels, is about</w:t>
        <w:br w:type="textWrapping"/>
        <w:t xml:space="preserve">to be adduced)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“when</w:t>
        <w:br w:type="textWrapping"/>
        <w:t xml:space="preserve">again He?”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 a</w:t>
        <w:br w:type="textWrapping"/>
        <w:t xml:space="preserve">new citation, or does it belong to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li+77E3pYJ6Fb/+ztD2o9jtNyg==">AMUW2mXTuVQdh+VuS7G5OIFnmqkMjcU8u2isfTWcyb7d/yyr/qFwm/m8RY163VaPlrh/Hld2gLbTNeRI5HI5DtJt5x5cBo69wK1adhOQuqjTZWbbjB9CHEw=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