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(some render this first,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“O God,”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</w:t>
        <w:br w:type="textWrapping"/>
        <w:t xml:space="preserve">apparently witho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necessity),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thy God,</w:t>
        <w:br w:type="textWrapping"/>
        <w:t xml:space="preserve">anointed thee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ow?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</w:t>
        <w:br w:type="textWrapping"/>
        <w:t xml:space="preserve">must distinguish this anointing from what</w:t>
        <w:br w:type="textWrapping"/>
        <w:t xml:space="preserve">is said in Acts x.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“God anointed Him</w:t>
        <w:br w:type="textWrapping"/>
        <w:t xml:space="preserve">with the Holy Spirit, and with power,”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anointing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Isa.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xi. 1. For it is</w:t>
        <w:br w:type="textWrapping"/>
        <w:t xml:space="preserve">a consequent upon the righteous course of</w:t>
        <w:br w:type="textWrapping"/>
        <w:t xml:space="preserve">the Son of God in his Humanity, and therefore belongs to his tri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mph, in which He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exalted above his fellows [see below].</w:t>
        <w:br w:type="textWrapping"/>
        <w:t xml:space="preserve">Again,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“oil of gladness”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below seems</w:t>
        <w:br w:type="textWrapping"/>
        <w:t xml:space="preserve">rather to point to a festive and triumphant,</w:t>
        <w:br w:type="textWrapping"/>
        <w:t xml:space="preserve">than to an inaug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rative unction. We</w:t>
        <w:br w:type="textWrapping"/>
        <w:t xml:space="preserve">should therefore rather take the allusion</w:t>
        <w:br w:type="textWrapping"/>
        <w:t xml:space="preserve">to be, as in Ps. xxiii. 5; xcii. 10, to the</w:t>
        <w:br w:type="textWrapping"/>
        <w:t xml:space="preserve">custom of anointing guests at feasts: so</w:t>
        <w:br w:type="textWrapping"/>
        <w:t xml:space="preserve">that, as the King in the Psalm is anointed</w:t>
        <w:br w:type="textWrapping"/>
        <w:t xml:space="preserve">with the oil of rejoicing above his fellows, beca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 of his having loved righteousness and hated iniquity, so Christ, in</w:t>
        <w:br w:type="textWrapping"/>
        <w:t xml:space="preserve">the jubilant celebration of His finished</w:t>
        <w:br w:type="textWrapping"/>
        <w:t xml:space="preserve">course at his exaltation in heaven, is</w:t>
        <w:br w:type="textWrapping"/>
        <w:t xml:space="preserve">anointed with the festive oil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above His</w:t>
        <w:br w:type="textWrapping"/>
        <w:t xml:space="preserve">fellows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[see below]. There is of course</w:t>
        <w:br w:type="textWrapping"/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allusion also in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anointed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(echr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ī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sen) to the honoured and triumphant.</w:t>
        <w:br w:type="textWrapping"/>
        <w:t xml:space="preserve">Name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oil of rejoicing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above: oil indicative of joy, as it is of</w:t>
        <w:br w:type="textWrapping"/>
        <w:t xml:space="preserve">superabundance: compare Isa.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beyond thy fellows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in the Psalm,</w:t>
        <w:br w:type="textWrapping"/>
        <w:t xml:space="preserve">‘other kings:’ hardly ‘brothers by kin’</w:t>
        <w:br w:type="textWrapping"/>
        <w:t xml:space="preserve">[other sons of David], as Grotius and</w:t>
        <w:br w:type="textWrapping"/>
        <w:t xml:space="preserve">others. But to whom does the Writer</w:t>
        <w:br w:type="textWrapping"/>
        <w:t xml:space="preserve">apply the words? Chrysostom says, “Who</w:t>
        <w:br w:type="textWrapping"/>
        <w:t xml:space="preserve">are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fellows,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except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men?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</w:t>
        <w:br w:type="textWrapping"/>
        <w:t xml:space="preserve">meaning is, Christ received not the Holy</w:t>
        <w:br w:type="textWrapping"/>
        <w:t xml:space="preserve">Spirit by measure.” Theodoret on the</w:t>
        <w:br w:type="textWrapping"/>
        <w:t xml:space="preserve">Psalm, Calvin, Beza, and others, think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lievers, the adopted into God’s family :</w:t>
        <w:br w:type="textWrapping"/>
        <w:t xml:space="preserve">others, of the High Priests, prophets,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ings, in the Old Test., anointed as types</w:t>
        <w:br w:type="textWrapping"/>
        <w:t xml:space="preserve">of Christ: others,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creatures: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others,</w:t>
        <w:br w:type="textWrapping"/>
        <w:t xml:space="preserve">as in the Psalm,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other kings.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Camero</w:t>
        <w:br w:type="textWrapping"/>
        <w:t xml:space="preserve">says, “Christ had in His office no fellows ;</w:t>
        <w:br w:type="textWrapping"/>
        <w:t xml:space="preserve">in His human nature, all men ; in grace,</w:t>
        <w:br w:type="textWrapping"/>
        <w:t xml:space="preserve">all the faithful.” Still we may answer</w:t>
        <w:br w:type="textWrapping"/>
        <w:t xml:space="preserve">to all these, that they do not in any</w:t>
        <w:br w:type="textWrapping"/>
        <w:t xml:space="preserve">way satisfy the requirements of the context. Were it the intent of the Writer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shew Christ’s superiority over his human</w:t>
        <w:br w:type="textWrapping"/>
        <w:t xml:space="preserve">brethren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every kind,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might accept</w:t>
        <w:br w:type="textWrapping"/>
        <w:t xml:space="preserve">one or other of these meanings: but as</w:t>
        <w:br w:type="textWrapping"/>
        <w:t xml:space="preserve">this is not his design, but to shew His</w:t>
        <w:br w:type="textWrapping"/>
        <w:t xml:space="preserve">superiority to the angels, we must I think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take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fellows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representing other</w:t>
        <w:br w:type="textWrapping"/>
        <w:t xml:space="preserve">heavenly beings, partakers in the same glorious and sinless state with Himself, though</w:t>
        <w:br w:type="textWrapping"/>
        <w:t xml:space="preserve">not in the strict sense, His “fellows.” De</w:t>
        <w:br w:type="textWrapping"/>
        <w:t xml:space="preserve">Wette objects to this sense, that the Writer</w:t>
        <w:br w:type="textWrapping"/>
        <w:t xml:space="preserve">places the angels far beneath Christ: Delitzsch, that the angels are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anointed,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whereas there is no necessity in the text</w:t>
        <w:br w:type="textWrapping"/>
        <w:t xml:space="preserve">for understanding that these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fellows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</w:t>
        <w:br w:type="textWrapping"/>
        <w:t xml:space="preserve">also anointed: the compari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may consist</w:t>
        <w:br w:type="textWrapping"/>
        <w:t xml:space="preserve">in the very fact of the anointing itself: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Ebrard, speaking as usual strongly,</w:t>
        <w:br w:type="textWrapping"/>
        <w:t xml:space="preserve">says that “neither the Psalmist, nor our</w:t>
        <w:br w:type="textWrapping"/>
        <w:t xml:space="preserve">author if in his senses, could have applied</w:t>
        <w:br w:type="textWrapping"/>
        <w:t xml:space="preserve">the word to the angels.” But this need not</w:t>
        <w:br w:type="textWrapping"/>
        <w:t xml:space="preserve">frighten us: and we may well answer with</w:t>
        <w:br w:type="textWrapping"/>
        <w:t xml:space="preserve">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nemann, 1) “that the general comparison here being that of Christ with</w:t>
        <w:br w:type="textWrapping"/>
        <w:t xml:space="preserve">the angels, the fresh introduction of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point of comparison in ver. 9 cannot of</w:t>
        <w:br w:type="textWrapping"/>
        <w:t xml:space="preserve">itself appear inappropriate. 2) Granted,</w:t>
        <w:br w:type="textWrapping"/>
        <w:t xml:space="preserve">that just before, in ver. 7, the angels are</w:t>
        <w:br w:type="textWrapping"/>
        <w:t xml:space="preserve">placed far beneath Christ,—we have this</w:t>
        <w:br w:type="textWrapping"/>
        <w:t xml:space="preserve">very inferiority here marked distinctly</w:t>
        <w:br w:type="textWrapping"/>
        <w:t xml:space="preserve">by the terms of this comparison. 3) The</w:t>
        <w:br w:type="textWrapping"/>
        <w:t xml:space="preserve">angels are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nex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Christ in rank, by</w:t>
        <w:br w:type="textWrapping"/>
        <w:t xml:space="preserve">the whole course of this argument: to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hom then would the Writer more naturally apply the term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fellows,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than to</w:t>
        <w:br w:type="textWrapping"/>
        <w:t xml:space="preserve">them?” I may add, 4) that the comparison here is but analogo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to that in</w:t>
        <w:br w:type="textWrapping"/>
        <w:t xml:space="preserve">ver. 4, of which indeed it is an expansion:</w:t>
        <w:br w:type="textWrapping"/>
        <w:t xml:space="preserve">and 5) that thus only can the figure of</w:t>
        <w:br w:type="textWrapping"/>
        <w:t xml:space="preserve">anointing at a triumphant festival be carried out consistently: that triumph having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taken place on the exaltation of the Redeemer to the Father’s right hand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throne [ver. 8], when, the whole of the</w:t>
        <w:br w:type="textWrapping"/>
        <w:t xml:space="preserve">heavenly company,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fellows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glory</w:t>
        <w:br w:type="textWrapping"/>
        <w:t xml:space="preserve">and joy, being anointed with the oil of</w:t>
        <w:br w:type="textWrapping"/>
        <w:t xml:space="preserve">gladness, His share and dignity was so</w:t>
        <w:br w:type="textWrapping"/>
        <w:t xml:space="preserve">much greater than theirs. It remains that</w:t>
        <w:br w:type="textWrapping"/>
        <w:t xml:space="preserve">we should consider the genera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import, and</w:t>
        <w:br w:type="textWrapping"/>
        <w:t xml:space="preserve">application here, of Ps. xlv. From what</w:t>
        <w:br w:type="textWrapping"/>
        <w:t xml:space="preserve">is elsewhere found in this commentary, it</w:t>
        <w:br w:type="textWrapping"/>
        <w:t xml:space="preserve">will not be for a moment supposed that I</w:t>
        <w:br w:type="textWrapping"/>
        <w:t xml:space="preserve">can give in to the view of such writers as</w:t>
        <w:br w:type="textWrapping"/>
        <w:t xml:space="preserve">De Wette and Hupfeld, who maintain that</w:t>
        <w:br w:type="textWrapping"/>
        <w:t xml:space="preserve">it was simply an ode to some king, uncertain whom, and has no further reference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whatever. Granting that in its first meaning it was addressed to Solomon (for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him the circumstances introduced seem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est to apply, e.g. the palace of ivory,</w:t>
        <w:br w:type="textWrapping"/>
        <w:t xml:space="preserve">ver. 9, compare 1 Kings x. 18: the gold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ByhJPn/+a0lab7Qg0jALXOeArlA==">AMUW2mX/hnvA4LnY1qoNaMy5MPc3HuRF1Vr/I+sywYp5dqdNgZc/2DeEsYa75hfv9iopi4RnZ/zk8ZqISEz3YzT2gZv/jK7v5o4HbDx/oj9db7RtrDTpGik=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