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Ophir, ver. 10, compare 1 Kings ix.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28: the daughter of Tyre with her gift,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18, compare 2 Chron.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16),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even, with Delitzsch, to Joram, on</w:t>
        <w:br w:type="textWrapping"/>
        <w:t xml:space="preserve">his marriage with the Tyrian Athaliah,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must yet apply to it that manifest</w:t>
        <w:br w:type="textWrapping"/>
        <w:t xml:space="preserve">principle, without which every Hebrew</w:t>
        <w:br w:type="textWrapping"/>
        <w:t xml:space="preserve">ode is both unintelligible and preposterous,</w:t>
        <w:br w:type="textWrapping"/>
        <w:t xml:space="preserve">that the theocratic idea filled the mind</w:t>
        <w:br w:type="textWrapping"/>
        <w:t xml:space="preserve">of the Writer and prompted his pen:</w:t>
        <w:br w:type="textWrapping"/>
        <w:t xml:space="preserve">and that the Spirit of God used him as</w:t>
        <w:br w:type="textWrapping"/>
        <w:t xml:space="preserve">the means of testifying to that King, who</w:t>
        <w:br w:type="textWrapping"/>
        <w:t xml:space="preserve">stood veritably at the head of the theocracy</w:t>
        <w:br w:type="textWrapping"/>
        <w:t xml:space="preserve">in the divine counsels. Thus considered,</w:t>
        <w:br w:type="textWrapping"/>
        <w:t xml:space="preserve">such applications as this lose all their difficulty; and we cease to feel ourselves obliged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to enquire to whom and on</w:t>
        <w:br w:type="textWrapping"/>
        <w:t xml:space="preserve">what occasion the Psalm was probably first</w:t>
        <w:br w:type="textWrapping"/>
        <w:t xml:space="preserve">addressed. And even descending to the</w:t>
        <w:br w:type="textWrapping"/>
        <w:t xml:space="preserve">low and mere rationalistic ground taken by</w:t>
        <w:br w:type="textWrapping"/>
        <w:t xml:space="preserve">De Wette and Hupfeld, we are at least safer</w:t>
        <w:br w:type="textWrapping"/>
        <w:t xml:space="preserve">than they are, holding as we do a meaning</w:t>
        <w:br w:type="textWrapping"/>
        <w:t xml:space="preserve">in which both Jews and Christians have</w:t>
        <w:br w:type="textWrapping"/>
        <w:t xml:space="preserve">so long concurred, as against the infinite</w:t>
        <w:br w:type="textWrapping"/>
        <w:t xml:space="preserve">diversity of occasion and reference which</w:t>
        <w:br w:type="textWrapping"/>
        <w:t xml:space="preserve">divides their opinions of the Psalm).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saith to the Son: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</w:t>
        <w:br w:type="textWrapping"/>
        <w:t xml:space="preserve">similar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introducing a new citation in</w:t>
        <w:br w:type="textWrapping"/>
        <w:t xml:space="preserve">Acts i. 20. The comma and capital letter,</w:t>
        <w:br w:type="textWrapping"/>
        <w:t xml:space="preserve">as in text, should be retained after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And), Thou, in the beginning,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has no word to represent it in the Hebrew.</w:t>
        <w:br w:type="textWrapping"/>
        <w:t xml:space="preserve">But it is taken up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 my 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ver. 24; and indeed from the whole strain</w:t>
        <w:br w:type="textWrapping"/>
        <w:t xml:space="preserve">of address, in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Jehovah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</w:t>
        <w:br w:type="textWrapping"/>
        <w:t xml:space="preserve">thrice expressed; in vv.1,12,15. On the</w:t>
        <w:br w:type="textWrapping"/>
        <w:t xml:space="preserve">bearing and interpretation of the Psalm,</w:t>
        <w:br w:type="textWrapping"/>
        <w:t xml:space="preserve">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foundedst the earth; and the</w:t>
        <w:br w:type="textWrapping"/>
        <w:t xml:space="preserve">heavens are works of thine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Ps. viii. 3):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(seems most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naturally to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immediately preceding. There is no reason in</w:t>
        <w:br w:type="textWrapping"/>
        <w:t xml:space="preserve">the Psalm why the pronoun should not</w:t>
        <w:br w:type="textWrapping"/>
        <w:t xml:space="preserve">represent both antecedents, the heavens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earth. Here, however, the subsequent context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 determine the</w:t>
        <w:br w:type="textWrapping"/>
        <w:t xml:space="preserve">application to be only to the heavens: for</w:t>
        <w:br w:type="textWrapping"/>
        <w:t xml:space="preserve">to them only can be referred the following</w:t>
        <w:br w:type="textWrapping"/>
        <w:t xml:space="preserve">image,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“as a vesture shalt thou fold thein</w:t>
        <w:br w:type="textWrapping"/>
        <w:t xml:space="preserve">up”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perish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far as concerns their</w:t>
        <w:br w:type="textWrapping"/>
        <w:t xml:space="preserve">present state. Compare the parallel expression,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“shall be changed,”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remainest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(Bleck prefers the future,</w:t>
        <w:br w:type="textWrapping"/>
        <w:t xml:space="preserve">on the ground of the verbs being all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in the Hebrew text. But perhaps</w:t>
        <w:br w:type="textWrapping"/>
        <w:t xml:space="preserve">the consideration alleged by Lümemann,</w:t>
        <w:br w:type="textWrapping"/>
        <w:t xml:space="preserve">that the Writer, using only the Septuagint, seems to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“but thou remainest”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“but thou art the same,”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parallel clauses, is of more weight than</w:t>
        <w:br w:type="textWrapping"/>
        <w:t xml:space="preserve">the other. De Wette, on the Psalm,</w:t>
        <w:br w:type="textWrapping"/>
        <w:t xml:space="preserve">renders the Hebrew verbs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verb in the original is a compound one,</w:t>
        <w:br w:type="textWrapping"/>
        <w:t xml:space="preserve">giving the sense of endurance through all</w:t>
        <w:br w:type="textWrapping"/>
        <w:t xml:space="preserve">changes);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all shall wax old as a</w:t>
        <w:br w:type="textWrapping"/>
        <w:t xml:space="preserve">garment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6,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earth shall</w:t>
        <w:br w:type="textWrapping"/>
        <w:t xml:space="preserve">wa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old like a garment:”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Ecclus. xiv. 17);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as a mantle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word signifies any enveloping, enwrapping</w:t>
        <w:br w:type="textWrapping"/>
        <w:t xml:space="preserve">garment)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shalt thou fold them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Hebrew here, and apparently some copi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of the Septuagint, have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same verb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elow: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“thou shalt change them,”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“thou shalt change them, and they shall</w:t>
        <w:br w:type="textWrapping"/>
        <w:t xml:space="preserve">be changed.” But the Alexandrine MS.</w:t>
        <w:br w:type="textWrapping"/>
        <w:t xml:space="preserve">reads as our text: and there can be little</w:t>
        <w:br w:type="textWrapping"/>
        <w:t xml:space="preserve">doubt that the Writer of this Epistle followed that text as usual),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shall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changed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as a mantle is folded up to</w:t>
        <w:br w:type="textWrapping"/>
        <w:t xml:space="preserve">be put away when a fresh one is abo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to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thou art 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(Hebrew,</w:t>
        <w:br w:type="textWrapping"/>
        <w:t xml:space="preserve">“and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art He:” viz., He, which thou</w:t>
        <w:br w:type="textWrapping"/>
        <w:t xml:space="preserve">hast ever been: compare Isa.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vi. 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thy years shall not fail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(Hebrew, “Thy</w:t>
        <w:br w:type="textWrapping"/>
        <w:t xml:space="preserve">years end not,” are never completed.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ccount to be given of Psalm cii.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as follows: according to its title it is</w:t>
        <w:br w:type="textWrapping"/>
        <w:t xml:space="preserve">“a prayer of the afflicted, when he is 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whelmed,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orH0Bh6+F6CFPw3h4VVQAj+GPg==">AMUW2mU/1XdwnLVqexNuMYcVIIZIj1d01minVkbMXcTn/Fn7/88r8KKaevsrgB2xlpMbbPQXMcv4GXZVnRvjZMWibQbHygOkJ/QhK4N34VPAZPNr5j3Mza0=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