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from the proved superiority of the Son of</w:t>
        <w:br w:type="textWrapping"/>
        <w:t xml:space="preserve">God to the angels.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1] On this account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(viz. because Christ, the Mediator</w:t>
        <w:br w:type="textWrapping"/>
        <w:t xml:space="preserve">of the New Covenant, is far above all the</w:t>
        <w:br w:type="textWrapping"/>
        <w:t xml:space="preserve">angels who were the mediators of the</w:t>
        <w:br w:type="textWrapping"/>
        <w:t xml:space="preserve">former Covenant)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it behoves 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“being</w:t>
        <w:br w:type="textWrapping"/>
        <w:t xml:space="preserve">aware of this difference,”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Theodoret: it is</w:t>
        <w:br w:type="textWrapping"/>
        <w:t xml:space="preserve">a moral necessity, arising from the previous</w:t>
        <w:br w:type="textWrapping"/>
        <w:t xml:space="preserve">premises: so Matt. xviii. 33; xxv. 27; 2 Tim. ii. 6. There is no stress on us)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give heed more abundantly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(we must not understand after the comparative,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more abundantly,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“than we did to the law,” as</w:t>
        <w:br w:type="textWrapping"/>
        <w:t xml:space="preserve">Chrysostom and others; or the aim of the</w:t>
        <w:br w:type="textWrapping"/>
        <w:t xml:space="preserve">Writer to be, to shew the superiority of</w:t>
        <w:br w:type="textWrapping"/>
        <w:t xml:space="preserve">the Gospel over the law, as Theodoret :</w:t>
        <w:br w:type="textWrapping"/>
        <w:t xml:space="preserve">but the comparative intimates how much</w:t>
        <w:br w:type="textWrapping"/>
        <w:t xml:space="preserve">our attention ought to be increased and</w:t>
        <w:br w:type="textWrapping"/>
        <w:t xml:space="preserve">intensified by our apprehension of the dignity of Him whose record the gospel is, and who is its Mediator)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the things</w:t>
        <w:br w:type="textWrapping"/>
        <w:t xml:space="preserve">heard [by us], lest haply we be diverted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(Aristotle uses the same passive form of</w:t>
        <w:br w:type="textWrapping"/>
        <w:t xml:space="preserve">this Greek verb to indicate that which we</w:t>
        <w:br w:type="textWrapping"/>
        <w:t xml:space="preserve">familiarly call food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going the wrong way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in course of swallowing.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Plutarch uses it</w:t>
        <w:br w:type="textWrapping"/>
        <w:t xml:space="preserve">of a ring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falling off from the finger.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See</w:t>
        <w:br w:type="textWrapping"/>
        <w:t xml:space="preserve">other illustrations in my Greek Test. The</w:t>
        <w:br w:type="textWrapping"/>
        <w:t xml:space="preserve">meaning of the verb seems then to be clear</w:t>
        <w:br w:type="textWrapping"/>
        <w:t xml:space="preserve">—to flow past, or away, or aside, to fall off,</w:t>
        <w:br w:type="textWrapping"/>
        <w:t xml:space="preserve">deflect from a course. We, going onward</w:t>
        <w:br w:type="textWrapping"/>
        <w:t xml:space="preserve">in time, living our lives in one or another</w:t>
        <w:br w:type="textWrapping"/>
        <w:t xml:space="preserve">direction, are exhorted ‘to adhere to the</w:t>
        <w:br w:type="textWrapping"/>
        <w:t xml:space="preserve">things we have heard’ [see above], and</w:t>
        <w:br w:type="textWrapping"/>
        <w:t xml:space="preserve">that,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‘that we do not at any time float</w:t>
        <w:br w:type="textWrapping"/>
        <w:t xml:space="preserve">past them,’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be not carried away beside</w:t>
        <w:br w:type="textWrapping"/>
        <w:t xml:space="preserve">them, led astray from the course on which</w:t>
        <w:br w:type="textWrapping"/>
        <w:t xml:space="preserve">they would take us. Two mistakes respecting the word are to be avoided:</w:t>
        <w:br w:type="textWrapping"/>
        <w:t xml:space="preserve">a) that of A. V.,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‘lest at any time we</w:t>
        <w:br w:type="textWrapping"/>
        <w:t xml:space="preserve">should let them slip.’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From what has</w:t>
        <w:br w:type="textWrapping"/>
        <w:t xml:space="preserve">been above said of the tense and voice, it</w:t>
        <w:br w:type="textWrapping"/>
        <w:t xml:space="preserve">will be clear that such cannot be the</w:t>
        <w:br w:type="textWrapping"/>
        <w:t xml:space="preserve">meaning. b) Still worse is that of those</w:t>
        <w:br w:type="textWrapping"/>
        <w:t xml:space="preserve">who have thought of a comparison with a</w:t>
        <w:br w:type="textWrapping"/>
        <w:t xml:space="preserve">sieve, or a leaking vessel. So Calvin,</w:t>
        <w:br w:type="textWrapping"/>
        <w:t xml:space="preserve">Owen, and others: and I find it reproduced in Tait’s commentary on the He-</w:t>
        <w:br w:type="textWrapping"/>
        <w:t xml:space="preserve">brews: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“lest.... we should run out as</w:t>
        <w:br w:type="textWrapping"/>
        <w:t xml:space="preserve">leaking vessels.”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meaning is as un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tenable, as the simile is irrelevant.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Greek expositors, whose authority in matters</w:t>
        <w:br w:type="textWrapping"/>
        <w:t xml:space="preserve">of Gre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 verbal usage is considerable, all</w:t>
        <w:br w:type="textWrapping"/>
        <w:t xml:space="preserve">explain it as above. So also all the more</w:t>
        <w:br w:type="textWrapping"/>
        <w:t xml:space="preserve">accurate of the moderns)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(such</w:t>
        <w:br w:type="textWrapping"/>
        <w:t xml:space="preserve">is the most natural object to supply after</w:t>
        <w:br w:type="textWrapping"/>
        <w:t xml:space="preserve">the verb: turned aside from and floated</w:t>
        <w:br w:type="textWrapping"/>
        <w:t xml:space="preserve">away from the course on which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adhering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them would have carried us).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2.] 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(introduces an argument</w:t>
        <w:br w:type="textWrapping"/>
        <w:t xml:space="preserve">[vv.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the less to the greater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law was introduced by the mere subordinate messengers of God, but was enforced with strict precision: how much</w:t>
        <w:br w:type="textWrapping"/>
        <w:t xml:space="preserve">more shall they be punished who reject</w:t>
        <w:br w:type="textWrapping"/>
        <w:t xml:space="preserve">that Gospel, which was brought in by the</w:t>
        <w:br w:type="textWrapping"/>
        <w:t xml:space="preserve">Son of God Himself, and continues to be</w:t>
        <w:br w:type="textWrapping"/>
        <w:t xml:space="preserve">confirmed to us by God’s present power)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the word which was spoken by means</w:t>
        <w:br w:type="textWrapping"/>
        <w:t xml:space="preserve">of angels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law of Moses. The cooperation of angels in the giving of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law at Sinai was not merely a rabbinical</w:t>
        <w:br w:type="textWrapping"/>
        <w:t xml:space="preserve">notion, but is implied in both the Old and</w:t>
        <w:br w:type="textWrapping"/>
        <w:t xml:space="preserve">New Testaments. There can consequently</w:t>
        <w:br w:type="textWrapping"/>
        <w:t xml:space="preserve">be little doubt that the Writer, in mentioning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word spoken by angels,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had</w:t>
        <w:br w:type="textWrapping"/>
        <w:t xml:space="preserve">reference to the law of Moses, and not, as</w:t>
        <w:br w:type="textWrapping"/>
        <w:t xml:space="preserve">some think, to the scattered messages</w:t>
        <w:br w:type="textWrapping"/>
        <w:t xml:space="preserve">which were, at different times in Old Test.</w:t>
        <w:br w:type="textWrapping"/>
        <w:t xml:space="preserve">history, delivered by angels. It has been</w:t>
        <w:br w:type="textWrapping"/>
        <w:t xml:space="preserve">sometimes supposed that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angels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spoken</w:t>
        <w:br w:type="textWrapping"/>
        <w:t xml:space="preserve">of here are not angels, but merely human</w:t>
        <w:br w:type="textWrapping"/>
        <w:t xml:space="preserve">messengers. Chrysostom says, “Some think</w:t>
        <w:br w:type="textWrapping"/>
        <w:t xml:space="preserve">that Moses is pointed at: but not with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tice: for the writer speaks of many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angels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Bleck remarks that the Writer would</w:t>
        <w:br w:type="textWrapping"/>
        <w:t xml:space="preserve">hardly have used this argument of depreciating contrast, had he regarded the Law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given either to Moses or to the people by</w:t>
        <w:br w:type="textWrapping"/>
        <w:t xml:space="preserve">the direct ministry of the Son of God Himself)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 made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“became,”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being thus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spoken by angels)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binding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firm, ratified :</w:t>
        <w:br w:type="textWrapping"/>
        <w:t xml:space="preserve">“stedfast,”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A.V.: as applied to commands,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imperative,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to be violated with impunity),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every transgression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(overstepping of its ordinances, or more properly</w:t>
        <w:br w:type="textWrapping"/>
        <w:t xml:space="preserve">walking alongside of, and therefore not in,</w:t>
        <w:br w:type="textWrapping"/>
        <w:t xml:space="preserve">the path which it marked out)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disobedience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relation of these two words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one another in point of sense seems accord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ingly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gjZpRTx53w0JQeuvk1TyQ1LvTlg==">AMUW2mWPugvaQxtA0KSfw3BJJqJwN84t9u9RKeeJfSrCjPGKiZJYWBdAqqy8vgjKZ8sKkxDp3vgQgrqr56Qfik4EIWeUJFKxt37gqwsREkMxqQkxfwfOcFo=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