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more and more be the ease; for,—according</w:t>
        <w:br w:type="textWrapping"/>
        <w:t xml:space="preserve">to the prophetic declaration of the Psalm,</w:t>
        <w:br w:type="textWrapping"/>
        <w:t xml:space="preserve">the whole world shall be put under His</w:t>
        <w:br w:type="textWrapping"/>
        <w:t xml:space="preserve">feet [ver 8]. Thus, by reminding them</w:t>
        <w:br w:type="textWrapping"/>
        <w:t xml:space="preserve">of the will of God declared in the holy</w:t>
        <w:br w:type="textWrapping"/>
        <w:t xml:space="preserve">Scriptures, does the Writer meet at the</w:t>
        <w:br w:type="textWrapping"/>
        <w:t xml:space="preserve">same time the objections of those of his</w:t>
        <w:br w:type="textWrapping"/>
        <w:t xml:space="preserve">readers and countrymen, to whom perhaps</w:t>
        <w:br w:type="textWrapping"/>
        <w:t xml:space="preserve">withdrawal of the agency of the angels with the introduction and growing realization of the new order of things might appear an important defect”).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6.]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(introduces a contrast to a preceding negative sentence frequently in our Epistle: compare ch. iv, 13. 15; ix. 12; x. 27; xii.</w:t>
        <w:br w:type="textWrapping"/>
        <w:t xml:space="preserve">13. An ellipsis follows it, to be supplied</w:t>
        <w:br w:type="textWrapping"/>
        <w:t xml:space="preserve">in the thought, “it is far otherwise, for”</w:t>
        <w:br w:type="textWrapping"/>
        <w:t xml:space="preserve">....)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one somewhere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 inference can be</w:t>
        <w:br w:type="textWrapping"/>
        <w:t xml:space="preserve">drawn from this indefinite manner of citation, either that the writer was quoting from memory, as some think, or that he</w:t>
        <w:br w:type="textWrapping"/>
        <w:t xml:space="preserve">did not know who was the author of the</w:t>
        <w:br w:type="textWrapping"/>
        <w:t xml:space="preserve">Psalm, as others. Rather may we say</w:t>
        <w:br w:type="textWrapping"/>
        <w:t xml:space="preserve">that it shews he was writing for readers</w:t>
        <w:br w:type="textWrapping"/>
        <w:t xml:space="preserve">familiar with the Scriptures, and from</w:t>
        <w:br w:type="textWrapping"/>
        <w:t xml:space="preserve">whom it might well be expected that they</w:t>
        <w:br w:type="textWrapping"/>
        <w:t xml:space="preserve">would recognize the citation without further specification. He certainly is not quoting from memory, seeing that the</w:t>
        <w:br w:type="textWrapping"/>
        <w:t xml:space="preserve">words agree exactly with the Septuagint:</w:t>
        <w:br w:type="textWrapping"/>
        <w:t xml:space="preserve">and Ps. viii. both in the Hebrew and Septuagint has a superscription indicating that it was written by David. We can</w:t>
        <w:br w:type="textWrapping"/>
        <w:t xml:space="preserve">hardly infer with some that the Writer</w:t>
        <w:br w:type="textWrapping"/>
        <w:t xml:space="preserve">meant to express his feeling that the Old</w:t>
        <w:br w:type="textWrapping"/>
        <w:t xml:space="preserve">Test. books had no human authors, but</w:t>
        <w:br w:type="textWrapping"/>
        <w:t xml:space="preserve">God Himself: for in this ease the personal</w:t>
        <w:br w:type="textWrapping"/>
        <w:t xml:space="preserve">designation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some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would hardly have</w:t>
        <w:br w:type="textWrapping"/>
        <w:t xml:space="preserve">been used, but a passive construction,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“it</w:t>
        <w:br w:type="textWrapping"/>
        <w:t xml:space="preserve">is written,”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the like, adopted instead)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testified, saying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seems the proper</w:t>
        <w:br w:type="textWrapping"/>
        <w:t xml:space="preserve">place for a few remarks on the sense of the</w:t>
        <w:br w:type="textWrapping"/>
        <w:t xml:space="preserve">citation which follows, and on the connexion of thought in the rest of the</w:t>
        <w:br w:type="textWrapping"/>
        <w:t xml:space="preserve">chapter. The general import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eighth</w:t>
        <w:br w:type="textWrapping"/>
        <w:t xml:space="preserve">Psalm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may be described as being, to praise</w:t>
        <w:br w:type="textWrapping"/>
        <w:t xml:space="preserve">Jehovah for His glory and majesty, and His merciful dealing with</w:t>
        <w:br w:type="textWrapping"/>
        <w:t xml:space="preserve">and exaltation of mankind. All exposition which loses</w:t>
        <w:br w:type="textWrapping"/>
        <w:t xml:space="preserve">sight of this general import, and attempts</w:t>
        <w:br w:type="textWrapping"/>
        <w:t xml:space="preserve">to force the Psalm into a direct and exclusive prophecy of the personal Messiah, goes to conceal its true prophetic sense,</w:t>
        <w:br w:type="textWrapping"/>
        <w:t xml:space="preserve">and to obscure the force and beauty of its</w:t>
        <w:br w:type="textWrapping"/>
        <w:t xml:space="preserve">reference to Him. This has been done by</w:t>
        <w:br w:type="textWrapping"/>
        <w:t xml:space="preserve">Bleck and others, who have made “the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 of Man” a direct title here of Christ.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who in the Psalm is spoken of,</w:t>
        <w:br w:type="textWrapping"/>
        <w:t xml:space="preserve">in the common and most general sense:</w:t>
        <w:br w:type="textWrapping"/>
        <w:t xml:space="preserve">the care taken by God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lordship given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subjection of God’s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orks to him. This high dignity he lost,</w:t>
        <w:br w:type="textWrapping"/>
        <w:t xml:space="preserve">but this high dignity he has regained, and</w:t>
        <w:br w:type="textWrapping"/>
        <w:t xml:space="preserve">possesses potentially in all its fulness and</w:t>
        <w:br w:type="textWrapping"/>
        <w:t xml:space="preserve">glory, restored, and for ever secured to</w:t>
        <w:br w:type="textWrapping"/>
        <w:t xml:space="preserve">him: How? and by whom? By one of</w:t>
        <w:br w:type="textWrapping"/>
        <w:t xml:space="preserve">his own race, the MAN Christ Jes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</w:t>
        <w:br w:type="textWrapping"/>
        <w:t xml:space="preserve">Whatever high and glorio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things can be</w:t>
        <w:br w:type="textWrapping"/>
        <w:t xml:space="preserve">said of man, belong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proper right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Him</w:t>
        <w:br w:type="textWrapping"/>
        <w:t xml:space="preserve">only,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proper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Him only, but</w:t>
        <w:br w:type="textWrapping"/>
        <w:t xml:space="preserve">derivatively to us His brethren and members. And this is the great key to the</w:t>
        <w:br w:type="textWrapping"/>
        <w:t xml:space="preserve">interpretation of all such sayings as these:</w:t>
        <w:br w:type="textWrapping"/>
        <w:t xml:space="preserve">whatever belongs to man by the constitution of his nature, belongs superlatively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is the constituted HEAD of</w:t>
        <w:br w:type="textWrapping"/>
        <w:t xml:space="preserve">man’s nature,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ond Adam, who has</w:t>
        <w:br w:type="textWrapping"/>
        <w:t xml:space="preserve">more than recovered all that the first</w:t>
        <w:br w:type="textWrapping"/>
        <w:t xml:space="preserve">Adam lost. To those who clearly appre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 and firmly hold this fundamental</w:t>
        <w:br w:type="textWrapping"/>
        <w:t xml:space="preserve">doctrine of Christianity, the interpretation</w:t>
        <w:br w:type="textWrapping"/>
        <w:t xml:space="preserve">of ancient prophecy, and the New Test.</w:t>
        <w:br w:type="textWrapping"/>
        <w:t xml:space="preserve">application of Old Test. sayings to Christ,</w:t>
        <w:br w:type="textWrapping"/>
        <w:t xml:space="preserve">become a far simpler matter than they</w:t>
        <w:br w:type="textWrapping"/>
        <w:t xml:space="preserve">ever can be to 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so here, it is</w:t>
        <w:br w:type="textWrapping"/>
        <w:t xml:space="preserve">to MAN, not to angels, that the “world to</w:t>
        <w:br w:type="textWrapping"/>
        <w:t xml:space="preserve">come” is subjected. This is the argument:</w:t>
        <w:br w:type="textWrapping"/>
        <w:t xml:space="preserve">and, as far as the end of ver. 8, 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arried</w:t>
        <w:br w:type="textWrapping"/>
        <w:t xml:space="preserve">on with reference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properly so</w:t>
        <w:br w:type="textWrapping"/>
        <w:t xml:space="preserve">called. There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yet no personal</w:t>
        <w:br w:type="textWrapping"/>
        <w:t xml:space="preserve">reference to our Lord, who is first introduced, and that in His lower personal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human Name,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9. This has been</w:t>
        <w:br w:type="textWrapping"/>
        <w:t xml:space="preserve">missed, and thus confusion introduced into</w:t>
        <w:br w:type="textWrapping"/>
        <w:t xml:space="preserve">the argument, by the majority of Commentators. To hold that our Lord is from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 intended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“man”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son of</w:t>
        <w:br w:type="textWrapping"/>
        <w:t xml:space="preserve">man”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is to disturb altogether the</w:t>
        <w:br w:type="textWrapping"/>
        <w:t xml:space="preserve">logical sequence, which runs thus: “I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He has subjected the</w:t>
        <w:br w:type="textWrapping"/>
        <w:t xml:space="preserve">latter dispensation, but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Still we</w:t>
        <w:br w:type="textWrapping"/>
        <w:t xml:space="preserve">do not see man in possession of this sovereignty. No; but we do see Jesus, whose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humiliation fulfilled the conditions of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hood, crowned with glory and hono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constituted the Head of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race, so</w:t>
        <w:br w:type="textWrapping"/>
        <w:t xml:space="preserve">that His death and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ferings were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</w:t>
        <w:br w:type="textWrapping"/>
        <w:t xml:space="preserve">deliverance and our perfecting. And for</w:t>
        <w:br w:type="textWrapping"/>
        <w:t xml:space="preserve">this to be so, the san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tifier and the sanctified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be all of one race.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rest of the chapter is spent in laying forth</w:t>
        <w:br w:type="textWrapping"/>
        <w:t xml:space="preserve">with inimitable beauty and tenderness tho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aUJFFdInv9Ha5dqJ0kJG+biMUA==">AMUW2mXXHAwqU2AYyVrO0TrOsddqYPHbNxWG5ElpOoo/YyfxkSGpixa8nAR1hDi4Zqc4BLQ1QGeCetzv0gYCbn3NQGFgCLi99W4Sc0zwyNZMtsiubHVsqoo=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