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necessity and effect of Jesus being thus</w:t>
        <w:br w:type="textWrapping"/>
        <w:t xml:space="preserve">made like us. The whole process of this</w:t>
        <w:br w:type="textWrapping"/>
        <w:t xml:space="preserve">second chapter stands without parallel for</w:t>
        <w:br w:type="textWrapping"/>
        <w:t xml:space="preserve">tender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persuasiveness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amidst the strictest</w:t>
        <w:br w:type="textWrapping"/>
        <w:t xml:space="preserve">logical coherence. And yet both of these</w:t>
        <w:br w:type="textWrapping"/>
        <w:t xml:space="preserve">are concealed and spoiled, unless we take</w:t>
        <w:br w:type="textWrapping"/>
        <w:t xml:space="preserve">these words of the Psalm, and the argument</w:t>
        <w:br w:type="textWrapping"/>
        <w:t xml:space="preserve">founded on them, of man generally, and</w:t>
        <w:br w:type="textWrapping"/>
        <w:t xml:space="preserve">then, and not till then, of Jesus, as man</w:t>
        <w:br w:type="textWrapping"/>
        <w:t xml:space="preserve">like ourselves),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(some have</w:t>
        <w:br w:type="textWrapping"/>
        <w:t xml:space="preserve">understood this to mean, “How great, how</w:t>
        <w:br w:type="textWrapping"/>
        <w:t xml:space="preserve">noble, is man; who even amongst the 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ensity of all these heavenly works of</w:t>
        <w:br w:type="textWrapping"/>
        <w:t xml:space="preserve">God, yet is remembered and visited of</w:t>
        <w:br w:type="textWrapping"/>
        <w:t xml:space="preserve">Him;” but against this are the two words</w:t>
        <w:br w:type="textWrapping"/>
        <w:t xml:space="preserve">here used in the Hebrew, both betokening</w:t>
        <w:br w:type="textWrapping"/>
        <w:t xml:space="preserve">man on his lower side, of weakness and</w:t>
        <w:br w:type="textWrapping"/>
        <w:t xml:space="preserve">inferiority. There can be little doubt that</w:t>
        <w:br w:type="textWrapping"/>
        <w:t xml:space="preserve">the ordinary view is right—not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how great,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tle,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agrees far</w:t>
        <w:br w:type="textWrapping"/>
        <w:t xml:space="preserve">better also with the wonder expressed at</w:t>
        <w:br w:type="textWrapping"/>
        <w:t xml:space="preserve">God’s thinking of and visiting 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below),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thou art mindful of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objec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ely,—as shewn by Thy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)? or (in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Hebrew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“and”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here doubtless substituted for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 Septuagint, to indicate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 second member of the parallelism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oes not point to another subject additional</w:t>
        <w:br w:type="textWrapping"/>
        <w:t xml:space="preserve">to the first)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son of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(proceeding</w:t>
        <w:br w:type="textWrapping"/>
        <w:t xml:space="preserve">on the same view as that given above, it</w:t>
        <w:br w:type="textWrapping"/>
        <w:t xml:space="preserve">would be irrelevant here to enter on an</w:t>
        <w:br w:type="textWrapping"/>
        <w:t xml:space="preserve">enq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iry as to the application of this title</w:t>
        <w:br w:type="textWrapping"/>
        <w:t xml:space="preserve">to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Lord, by others, and by Himself,—</w:t>
        <w:br w:type="textWrapping"/>
        <w:t xml:space="preserve">inas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as it is not here appropriated to</w:t>
        <w:br w:type="textWrapping"/>
        <w:t xml:space="preserve">Him, but used of any and every son of</w:t>
        <w:br w:type="textWrapping"/>
        <w:t xml:space="preserve">Ada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true, our thoughts at once</w:t>
        <w:br w:type="textWrapping"/>
        <w:t xml:space="preserve">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ur to Him on reading the words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t,</w:t>
        <w:br w:type="textWrapping"/>
        <w:t xml:space="preserve">if we are following the train of 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ght,</w:t>
        <w:br w:type="textWrapping"/>
        <w:t xml:space="preserve">only as their ulterior, not as their immediate, reference),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Thou visitest him?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Thou madest Him a little lower</w:t>
        <w:br w:type="textWrapping"/>
        <w:t xml:space="preserve">than the angels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 in the Hebrew,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Thou lettest him be little inferior to</w:t>
        <w:br w:type="textWrapping"/>
        <w:t xml:space="preserve">God.” The best Hebrew scholars seem to</w:t>
        <w:br w:type="textWrapping"/>
        <w:t xml:space="preserve">agree that the word “God” here represents not the personal God, but the abstract qualities of Godhead, in which all</w:t>
        <w:br w:type="textWrapping"/>
        <w:t xml:space="preserve">that is divine, or immediately connected</w:t>
        <w:br w:type="textWrapping"/>
        <w:t xml:space="preserve">with the Deity, is included. If so, then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rendering of the Septuagint and 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text is, though not exhaustive of the original, yet by no means an inac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urate one.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angelic nature, being the lowest of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is divine and heavenly, marks well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terminus just beneath which man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set. And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ust be remarked that the</w:t>
        <w:br w:type="textWrapping"/>
        <w:t xml:space="preserve">stress of the argument here is not on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mention of the angels, but on the assertion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sovereignty of man. I may rem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rk,</w:t>
        <w:br w:type="textWrapping"/>
        <w:t xml:space="preserve">that the marginal rendering of our A. V.,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 little while inferior to,”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though 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ess also warranted by the usage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Greek, seems q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ite unnecessary in the context, where not the question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of place, is before us);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crownedst</w:t>
        <w:br w:type="textWrapping"/>
        <w:t xml:space="preserve">him with glory and honour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remind</w:t>
        <w:br w:type="textWrapping"/>
        <w:t xml:space="preserve">the reader of what has been said before;</w:t>
        <w:br w:type="textWrapping"/>
        <w:t xml:space="preserve">that the quotation is adduced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of</w:t>
        <w:br w:type="textWrapping"/>
        <w:t xml:space="preserve">the Messiah, but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that on this the</w:t>
        <w:br w:type="textWrapping"/>
        <w:t xml:space="preserve">whole subsequent argument depends. With</w:t>
        <w:br w:type="textWrapping"/>
        <w:t xml:space="preserve">this view vanish the difficulties which</w:t>
        <w:br w:type="textWrapping"/>
        <w:t xml:space="preserve">have been raised about the original and</w:t>
        <w:br w:type="textWrapping"/>
        <w:t xml:space="preserve">here-intended meaning of this clause. It</w:t>
        <w:br w:type="textWrapping"/>
        <w:t xml:space="preserve">is, in fact, a further setting forth of the</w:t>
        <w:br w:type="textWrapping"/>
        <w:t xml:space="preserve">preceding 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Man, who was left not</w:t>
        <w:br w:type="textWrapping"/>
        <w:t xml:space="preserve">far behind the divine attributes themselves,</w:t>
        <w:br w:type="textWrapping"/>
        <w:t xml:space="preserve">was also invested with kingly majesty on</w:t>
        <w:br w:type="textWrapping"/>
        <w:t xml:space="preserve">earth, put into the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God 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self in</w:t>
        <w:br w:type="textWrapping"/>
        <w:t xml:space="preserve">sovereignty over the world. That this has</w:t>
        <w:br w:type="textWrapping"/>
        <w:t xml:space="preserve">only bee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realized in the man Christ Jesus,</w:t>
        <w:br w:type="textWrapping"/>
        <w:t xml:space="preserve">is not brought out till below, and forms</w:t>
        <w:br w:type="textWrapping"/>
        <w:t xml:space="preserve">the central point of the argument.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pfeld remarks that the Hebrew term here</w:t>
        <w:br w:type="textWrapping"/>
        <w:t xml:space="preserve">rendered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glory and honour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a common expression for the divine majesty, and thence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 kingly, as a reflexion of the divine:</w:t>
        <w:br w:type="textWrapping"/>
        <w:t xml:space="preserve">and the crowning represents the kingly</w:t>
        <w:br w:type="textWrapping"/>
        <w:t xml:space="preserve">majesty, with which man is adorned as</w:t>
        <w:br w:type="textWrapping"/>
        <w:t xml:space="preserve">with a kingly crown):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 thou didst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put all things under his f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(universal</w:t>
        <w:br w:type="textWrapping"/>
        <w:t xml:space="preserve">dominion is bestowed on man by his constitution as he came from God. That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estow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never yet been realized, is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next step of the argument: the Redeemer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eing at present kept out of sight, but by</w:t>
        <w:br w:type="textWrapping"/>
        <w:t xml:space="preserve">and by to be introduced as the real fulfiller of this high destiny of man, and 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account, incar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ate in man’s nature)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6GZFJ0S8iTdjEzIGylTporzP5uA==">AMUW2mW0y6nSLkhqyNc6DKnMLRwc+5E52y7QZf7O90GAVHZSTu6NQ8o496gHHimCns//Rb6A8dCGIJEfXcoVnvOxnOlI8QY5kYn7bmFpcutlbM8e2oLVhuw=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