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in the Septuagint, immediately prec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ding the next citation. The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objection to this view is, that it would be hardly</w:t>
        <w:br w:type="textWrapping"/>
        <w:t xml:space="preserve">likely in this case that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 occurred, but the two</w:t>
        <w:br w:type="textWrapping"/>
        <w:t xml:space="preserve">citations would have proceeded as one.</w:t>
        <w:br w:type="textWrapping"/>
        <w:t xml:space="preserve">And hence the words have sought in</w:t>
        <w:br w:type="textWrapping"/>
        <w:t xml:space="preserve">other places: e.g.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Ps. xviii. 3, Isa. xlii. 1,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however, besides the Septuagint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different, the words are spoken in a</w:t>
        <w:br w:type="textWrapping"/>
        <w:t xml:space="preserve">totally different reference.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</w:t>
        <w:br w:type="textWrapping"/>
        <w:t xml:space="preserve">are found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2 Sam. 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Isa. xii. 2. There is no objection to</w:t>
        <w:br w:type="textWrapping"/>
        <w:t xml:space="preserve">the first of these passages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our citation; and the alleged non-Messianic character of the Psalm will weigh very light with those who view the Psalms as above set forth. Still, regarding the above-stated objection as of no weight,—owing to the diversity of the two cited clauses, the one expressive of personal trust in God, the other declaratory respecting a relation to others [compare also ch. x.</w:t>
        <w:br w:type="textWrapping"/>
        <w:t xml:space="preserve">30, which is a nearly though not exactly</w:t>
        <w:br w:type="textWrapping"/>
        <w:t xml:space="preserve">similar case],—I prefer, is the more natural, the opinion which derives both texts from the same place of Isaiah. On the</w:t>
        <w:br w:type="textWrapping"/>
        <w:t xml:space="preserve">sense then, see below).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again, Behold</w:t>
        <w:br w:type="textWrapping"/>
        <w:t xml:space="preserve">I and the children which God gave 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(Isa. viii. 18. Considerable difficulty has</w:t>
        <w:br w:type="textWrapping"/>
        <w:t xml:space="preserve">been made by the Commentators in applying these citations to Christ. I own that the question seems to me to be admirably</w:t>
        <w:br w:type="textWrapping"/>
        <w:t xml:space="preserve">stated by Theodorct on Ps. xxii., “More</w:t>
        <w:br w:type="textWrapping"/>
        <w:t xml:space="preserve">credit is to be given to the Holy Apostles</w:t>
        <w:br w:type="textWrapping"/>
        <w:t xml:space="preserve">and to our Saviour Himself when He uses</w:t>
        <w:br w:type="textWrapping"/>
        <w:t xml:space="preserve">plainly the opening of the Psalm, than to</w:t>
        <w:br w:type="textWrapping"/>
        <w:t xml:space="preserve">those who attempt to interpret it.” But:</w:t>
        <w:br w:type="textWrapping"/>
        <w:t xml:space="preserve">this does not preclude our entering on an</w:t>
        <w:br w:type="textWrapping"/>
        <w:t xml:space="preserve">attempt in each case to give a distinct:</w:t>
        <w:br w:type="textWrapping"/>
        <w:t xml:space="preserve">account of the rationale of the application.</w:t>
        <w:br w:type="textWrapping"/>
        <w:t xml:space="preserve">In the passage of Isaiah [vv. 11—18], the</w:t>
        <w:br w:type="textWrapping"/>
        <w:t xml:space="preserve">Prophet is especially blaming the people of</w:t>
        <w:br w:type="textWrapping"/>
        <w:t xml:space="preserve">Judah under Ahaz, for having called in the</w:t>
        <w:br w:type="textWrapping"/>
        <w:t xml:space="preserve">help of the Assyrian king against Pekah</w:t>
        <w:br w:type="textWrapping"/>
        <w:t xml:space="preserve">king of Israel, and Rezin king of Syria.</w:t>
        <w:br w:type="textWrapping"/>
        <w:t xml:space="preserve">And in these verses [17 f.] the Prophet</w:t>
        <w:br w:type="textWrapping"/>
        <w:t xml:space="preserve">expresses his own determination, in spite</w:t>
        <w:br w:type="textWrapping"/>
        <w:t xml:space="preserve">of the reliance of the people on the confederacy, to wait for the Lord, and to remain, he and the children whom God had</w:t>
        <w:br w:type="textWrapping"/>
        <w:t xml:space="preserve">given him, for signs and wonders in Israel</w:t>
        <w:br w:type="textWrapping"/>
        <w:t xml:space="preserve">from the Lord of Hosts, which dwelleth in</w:t>
        <w:br w:type="textWrapping"/>
        <w:t xml:space="preserve">Zion. Then from Isa. viii. 18 to ix. 7,</w:t>
        <w:br w:type="textWrapping"/>
        <w:t xml:space="preserve">is set forth the prospect of future deliverance</w:t>
        <w:br w:type="textWrapping"/>
        <w:t xml:space="preserve">to Judah coming from their God, ending</w:t>
        <w:br w:type="textWrapping"/>
        <w:t xml:space="preserve">with the glorious anticipation of the 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future Deliverer. This confident speech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Prophet our Writer adopts at once as</w:t>
        <w:br w:type="textWrapping"/>
        <w:t xml:space="preserve">the words of the greatest of all 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prophetic office of</w:t>
        <w:br w:type="textWrapping"/>
        <w:t xml:space="preserve">Christ. Thus the matter illustrated [for</w:t>
        <w:br w:type="textWrapping"/>
        <w:t xml:space="preserve">there is no demonstration here; this verse</w:t>
        <w:br w:type="textWrapping"/>
        <w:t xml:space="preserve">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last] is, that as the</w:t>
        <w:br w:type="textWrapping"/>
        <w:t xml:space="preserve">prophet Isaiah withstood the human dependence of his age, and stood forth, he</w:t>
        <w:br w:type="textWrapping"/>
        <w:t xml:space="preserve">and the children whom God had given him,</w:t>
        <w:br w:type="textWrapping"/>
        <w:t xml:space="preserve">and who were begotten in pursuance of the</w:t>
        <w:br w:type="textWrapping"/>
        <w:t xml:space="preserve">divine command as a sign to Isra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l,—</w:t>
        <w:br w:type="textWrapping"/>
        <w:t xml:space="preserve">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fulfilled the</w:t>
        <w:br w:type="textWrapping"/>
        <w:t xml:space="preserve">same office, and had the same hopes,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the same relation to those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ong</w:t>
        <w:br w:type="textWrapping"/>
        <w:t xml:space="preserve">who He prophesied, praising God with</w:t>
        <w:br w:type="textWrapping"/>
        <w:t xml:space="preserve">them, leading them in confidence on God,</w:t>
        <w:br w:type="textWrapping"/>
        <w:t xml:space="preserve">and speaking of them as one family and</w:t>
        <w:br w:type="textWrapping"/>
        <w:t xml:space="preserve">stock with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our passage</w:t>
        <w:br w:type="textWrapping"/>
        <w:t xml:space="preserve">forms a notable instance of the prophetic</w:t>
        <w:br w:type="textWrapping"/>
        <w:t xml:space="preserve">office of Christ being taken as the antitype</w:t>
        <w:br w:type="textWrapping"/>
        <w:t xml:space="preserve">of the official words and acts of all the</w:t>
        <w:br w:type="textWrapping"/>
        <w:t xml:space="preserve">Prophets, just as His kingly office fulfills</w:t>
        <w:br w:type="textWrapping"/>
        <w:t xml:space="preserve">and takes up all that is said and done by</w:t>
        <w:br w:type="textWrapping"/>
        <w:t xml:space="preserve">the theo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ratic Kings, and His priestly office</w:t>
        <w:br w:type="textWrapping"/>
        <w:t xml:space="preserve">accomplishes all the types and ordinances</w:t>
        <w:br w:type="textWrapping"/>
        <w:t xml:space="preserve">of the Old Test. Priesthood)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and line of argument is this:</w:t>
        <w:br w:type="textWrapping"/>
        <w:t xml:space="preserve">in ver. 5 it was shewn,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angels,</w:t>
        <w:br w:type="textWrapping"/>
        <w:t xml:space="preserve">but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MAN, is the new order of things</w:t>
        <w:br w:type="textWrapping"/>
        <w:t xml:space="preserve">subjected: in vv. 6—8, that this domination was predicated of man in the Old Test.: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9, that the only case of its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 has been that of Jesus, who has</w:t>
        <w:br w:type="textWrapping"/>
        <w:t xml:space="preserve">been crowned with glory and honour on</w:t>
        <w:br w:type="textWrapping"/>
        <w:t xml:space="preserve">account of His suffering death. Then,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10, 11 a, it is shewn that the becoming</w:t>
        <w:br w:type="textWrapping"/>
        <w:t xml:space="preserve">way for the Redeemer to this crown of</w:t>
        <w:br w:type="textWrapping"/>
        <w:t xml:space="preserve">glory, the purpose of winning which was</w:t>
        <w:br w:type="textWrapping"/>
        <w:t xml:space="preserve">to bring many sons of God to it, was, being</w:t>
        <w:br w:type="textWrapping"/>
        <w:t xml:space="preserve">perfected through sufferings, seeing that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share with those whom He is</w:t>
        <w:br w:type="textWrapping"/>
        <w:t xml:space="preserve">to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tify, in dependence on a common</w:t>
        <w:br w:type="textWrapping"/>
        <w:t xml:space="preserve">Father. Then vv. 11 b, 12, 13 have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rnished illustrations confirmatory of this,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His own sayings in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ripture.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come to the proof, that</w:t>
        <w:br w:type="textWrapping"/>
        <w:t xml:space="preserve">He who was thus to be the Leader of the</w:t>
        <w:br w:type="textWrapping"/>
        <w:t xml:space="preserve">salvation of these many sons, by trusting</w:t>
        <w:br w:type="textWrapping"/>
        <w:t xml:space="preserve">like them, and suffering like them, must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 like them, in order</w:t>
        <w:br w:type="textWrapping"/>
        <w:t xml:space="preserve">for that His death to have any efficacy</w:t>
        <w:br w:type="textWrapping"/>
        <w:t xml:space="preserve">towards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purpose.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inference is drawn from the words immediately preceding: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thought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cast back to the argument of which the</w:t>
        <w:br w:type="textWrapping"/>
        <w:t xml:space="preserve">citations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an interruption: as if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eSTyp7qsSB9znotDAIwrx+7Dbg==">AMUW2mWAo8LPH/EWiFJrrpuzQMrOk+hO92iktpDt180rMTNSJN0suFSB8qpxHiO5qw9HEfNkV+R6ctQu6GQovq1J3bz7ZXXcGw9Fyfei+0BVxrPhuvZceEo=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