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had been said, “and by this very expression in our last citation,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children,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 may substantiate that which our argument.</w:t>
        <w:br w:type="textWrapping"/>
        <w:t xml:space="preserve">is seeking to prove”)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(before</w:t>
        <w:br w:type="textWrapping"/>
        <w:t xml:space="preserve">mentioned)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partakers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‘have been constituted partakers of,’—in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order established in nature, and enduring still.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participation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</w:t>
        <w:br w:type="textWrapping"/>
        <w:t xml:space="preserve">with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elders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Valeknaer, but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another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blood and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(“this expression betokens,” says Bleek, “the whole sensuous corporeal nature of man, which</w:t>
        <w:br w:type="textWrapping"/>
        <w:t xml:space="preserve">he has in common with the brutes, and</w:t>
        <w:br w:type="textWrapping"/>
        <w:t xml:space="preserve">whereby he is the object of sensuous perception and corporeal impressions : whereby also he is subjected to the laws of the</w:t>
        <w:br w:type="textWrapping"/>
        <w:t xml:space="preserve">infirmity, decay, and transitoriness of material things, in contrast to purely spiritual and incorporeal beings.” Delitzsch remarks</w:t>
        <w:br w:type="textWrapping"/>
        <w:t xml:space="preserve">on the order, that it differs from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“flesh and</w:t>
        <w:br w:type="textWrapping"/>
        <w:t xml:space="preserve">blood,”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setting forth first the inner and</w:t>
        <w:br w:type="textWrapping"/>
        <w:t xml:space="preserve">more important element, the blood, as the</w:t>
        <w:br w:type="textWrapping"/>
        <w:t xml:space="preserve">more immediate and principal vehicle of</w:t>
        <w:br w:type="textWrapping"/>
        <w:t xml:space="preserve">the soul.....before the more visible and palpable element, the flesh: doubtless with reference to the shedding of Blood, with a view to which the Saviour entered into community with our corporeal life),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Himself also in like manner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similarly.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word expresses a general similitude, a</w:t>
        <w:br w:type="textWrapping"/>
        <w:t xml:space="preserve">likeness in the main; and so is not to be</w:t>
        <w:br w:type="textWrapping"/>
        <w:t xml:space="preserve">pressed here, to extend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entire identity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nor on the other hand to imply, of purpose,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partial diversity;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but to be taken in its</w:t>
        <w:br w:type="textWrapping"/>
        <w:t xml:space="preserve">wide and open sense—that He Himself</w:t>
        <w:br w:type="textWrapping"/>
        <w:t xml:space="preserve">also partook, in the main, in like manner</w:t>
        <w:br w:type="textWrapping"/>
        <w:t xml:space="preserve">with us, of our nature. The ancient expositors dwell justly on the word as against the Docetæ, who held that our Lord’s was</w:t>
        <w:br w:type="textWrapping"/>
        <w:t xml:space="preserve">only an apparent body)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participated in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 A. V.,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“took part,”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good, but it</w:t>
        <w:br w:type="textWrapping"/>
        <w:t xml:space="preserve">should be followed 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‘in,’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which</w:t>
        <w:br w:type="textWrapping"/>
        <w:t xml:space="preserve">makes it ambiguous. Notice the past tense,</w:t>
        <w:br w:type="textWrapping"/>
        <w:t xml:space="preserve">referring to the one act of the Incarnation)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same things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blood and flesh: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not,</w:t>
        <w:br w:type="textWrapping"/>
        <w:t xml:space="preserve">as Bengel, “the same things which happen</w:t>
        <w:br w:type="textWrapping"/>
        <w:t xml:space="preserve">to his brethren, not even death excepted”);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that by means of his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(a paradox. “Death itself, as Death, is that which</w:t>
        <w:br w:type="textWrapping"/>
        <w:t xml:space="preserve">Jesus used as the instrument of annihilating the prince of Death;” Hoffmann.</w:t>
        <w:br w:type="textWrapping"/>
        <w:t xml:space="preserve">There is an old Latin Epigram, which may</w:t>
        <w:br w:type="textWrapping"/>
        <w:t xml:space="preserve">be thus given in English: “Had not the</w:t>
        <w:br w:type="textWrapping"/>
        <w:t xml:space="preserve">death of death | by death done death to</w:t>
        <w:br w:type="textWrapping"/>
        <w:t xml:space="preserve">death, | that key were lost, which Life |</w:t>
        <w:br w:type="textWrapping"/>
        <w:t xml:space="preserve">Eternal openeth”)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might destroy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(bring</w:t>
        <w:br w:type="textWrapping"/>
        <w:t xml:space="preserve">to nought. The word is found, besides here,</w:t>
        <w:br w:type="textWrapping"/>
        <w:t xml:space="preserve">once in St. Luke [xiii. 7], and twenty-five</w:t>
        <w:br w:type="textWrapping"/>
        <w:t xml:space="preserve">times in St. Paul)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 that hath the power</w:t>
        <w:br w:type="textWrapping"/>
        <w:t xml:space="preserve">of death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present participle is better</w:t>
        <w:br w:type="textWrapping"/>
        <w:t xml:space="preserve">taken of the office, ‘the holder of the</w:t>
        <w:br w:type="textWrapping"/>
        <w:t xml:space="preserve">power,’—than of past time,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‘him that had</w:t>
        <w:br w:type="textWrapping"/>
        <w:t xml:space="preserve">the power,’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A.V. The reason why this</w:t>
        <w:br w:type="textWrapping"/>
        <w:t xml:space="preserve">clause comes first, and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devil,”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</w:t>
        <w:br w:type="textWrapping"/>
        <w:t xml:space="preserve">probably, as Chrysostom suggests, to exhibit the paradox mentioned above),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is, the 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(compare Wisdom ii. 24, “By</w:t>
        <w:br w:type="textWrapping"/>
        <w:t xml:space="preserve">the envy of the devil death came into the</w:t>
        <w:br w:type="textWrapping"/>
        <w:t xml:space="preserve">world:” and see Rev. xii. 9; xx. 2. So in</w:t>
        <w:br w:type="textWrapping"/>
        <w:t xml:space="preserve">the Rabbinical writings, Samuel, the chief</w:t>
        <w:br w:type="textWrapping"/>
        <w:t xml:space="preserve">of the evil spirits, was called the angel of</w:t>
        <w:br w:type="textWrapping"/>
        <w:t xml:space="preserve">death: and it is said, “Samuel was the</w:t>
        <w:br w:type="textWrapping"/>
        <w:t xml:space="preserve">cause of death to all the world.”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Death of Christ brought to nought the</w:t>
        <w:br w:type="textWrapping"/>
        <w:t xml:space="preserve">agency of the devil in death, because, that</w:t>
        <w:br w:type="textWrapping"/>
        <w:t xml:space="preserve">Death of His being not the penalty of His</w:t>
        <w:br w:type="textWrapping"/>
        <w:t xml:space="preserve">own sin, but the atoning sacrifice for the</w:t>
        <w:br w:type="textWrapping"/>
        <w:t xml:space="preserve">sin of the world, all those who by faith are</w:t>
        <w:br w:type="textWrapping"/>
        <w:t xml:space="preserve">united to Him can now look on death no</w:t>
        <w:br w:type="textWrapping"/>
        <w:t xml:space="preserve">longer as the penalty of sin, but only as</w:t>
        <w:br w:type="textWrapping"/>
        <w:t xml:space="preserve">the passage for them, as it was for Him, to</w:t>
        <w:br w:type="textWrapping"/>
        <w:t xml:space="preserve">a new and glorious life of triumph and</w:t>
        <w:br w:type="textWrapping"/>
        <w:t xml:space="preserve">blessedness. But for those who are not</w:t>
        <w:br w:type="textWrapping"/>
        <w:t xml:space="preserve">united to Him, death, retaining its character of a punishment for sin, retains also therewith all its manifold terrors);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  <w:br w:type="textWrapping"/>
        <w:t xml:space="preserve">might deliver those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many as. This</w:t>
        <w:br w:type="textWrapping"/>
        <w:t xml:space="preserve">does not in such a case imply the existence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others who do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fulfil the thing predicated, but rather takes, so to speak, the full measure of those indicated, being almost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“who, every one of them....”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 persons whom Christ</w:t>
        <w:br w:type="textWrapping"/>
        <w:t xml:space="preserve">died to free, were all subject to this bondage</w:t>
        <w:br w:type="textWrapping"/>
        <w:t xml:space="preserve">induced by the fear of death. And these</w:t>
        <w:br w:type="textWrapping"/>
        <w:t xml:space="preserve">in fact were, all mankind; to whom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UzAIg2YAiSOTQXi76FJBmDMrRQ==">AMUW2mVe7c2/F20bId+fQpWQlwvhPWrWBz8RDCQoEpL5BdKK41XUiyNhU1fK66qF8KFe+f/vWA0s3ObrJdES0/K5yk4uxBSXq9ER68lzVdn+551APMWuWYg=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