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26:—but a moral necessity in the carrying out of His mediatorial work)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all things wherewith the present argument is concerned: all things which constitute real humanity, and introduce to its sufferings and temptations and sympathies. The exception,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</w:t>
        <w:br w:type="textWrapping"/>
        <w:t xml:space="preserve">sin,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brought out in ch. iv. 15, is not in</w:t>
        <w:br w:type="textWrapping"/>
        <w:t xml:space="preserve">view here)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 like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‘made like.’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original expresses that this resemblance was brought about by a definite</w:t>
        <w:br w:type="textWrapping"/>
        <w:t xml:space="preserve">act, other than his former state: an important distinction, which however we</w:t>
        <w:br w:type="textWrapping"/>
        <w:t xml:space="preserve">must rather lose in the English than introduce an irrelevant idea by the word</w:t>
        <w:br w:type="textWrapping"/>
        <w:t xml:space="preserve">‘made’)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his 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children</w:t>
        <w:br w:type="textWrapping"/>
        <w:t xml:space="preserve">of Israel, as above: but obviously also, his</w:t>
        <w:br w:type="textWrapping"/>
        <w:t xml:space="preserve">brethren in the flesh—all mankind),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that</w:t>
        <w:br w:type="textWrapping"/>
        <w:t xml:space="preserve">he might become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simply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because the High Priesthood of Christ in</w:t>
        <w:br w:type="textWrapping"/>
        <w:t xml:space="preserve">all its fulness, and especially in its work</w:t>
        <w:br w:type="textWrapping"/>
        <w:t xml:space="preserve">of mercy and compassion and succour, was</w:t>
        <w:br w:type="textWrapping"/>
        <w:t xml:space="preserve">not inaugurated, till He entered into the</w:t>
        <w:br w:type="textWrapping"/>
        <w:t xml:space="preserve">heavenly place: see ch. v. 9, vi. 19, 20,</w:t>
        <w:br w:type="textWrapping"/>
        <w:t xml:space="preserve">vii. 26, viii. 1, 4. His being in all things</w:t>
        <w:br w:type="textWrapping"/>
        <w:t xml:space="preserve">like his brethren, sufferings and death included,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necessary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Him, in order to his becoming, through those sufferings and</w:t>
        <w:br w:type="textWrapping"/>
        <w:t xml:space="preserve">death, our High Priest. It was not the</w:t>
        <w:br w:type="textWrapping"/>
        <w:t xml:space="preserve">death [though that was of previous necessity, and therefore is often spoken of as involving the whole], but the bringing the</w:t>
        <w:br w:type="textWrapping"/>
        <w:t xml:space="preserve">blood into the holy place, in which the work</w:t>
        <w:br w:type="textWrapping"/>
        <w:t xml:space="preserve">of sacerdotal expiation consisted:</w:t>
        <w:br w:type="textWrapping"/>
        <w:t xml:space="preserve">see Levit. iv. 13–20: and below, on the end</w:t>
        <w:br w:type="textWrapping"/>
        <w:t xml:space="preserve">of the verse)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merciful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original might</w:t>
        <w:br w:type="textWrapping"/>
        <w:t xml:space="preserve">also be rendered,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“merciful, and a faithful High Priest:”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against adopting this here, see in my Greek Test.)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faithful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(true to His office, not only as regards God [ch. iii. 5], but as regards men also;</w:t>
        <w:br w:type="textWrapping"/>
        <w:t xml:space="preserve">to be trusted without fail)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High Priest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(this is the first mention of the sacerdotal</w:t>
        <w:br w:type="textWrapping"/>
        <w:t xml:space="preserve">office of Christ, of which so much is afterwards said in the Epistle, and which recurs again so soon, ch. iii. 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matters relating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words must not be referred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High Priest;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or rather to the whole idea,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 merciful</w:t>
        <w:br w:type="textWrapping"/>
        <w:t xml:space="preserve">and faithful High Priest”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expiate</w:t>
        <w:br w:type="textWrapping"/>
        <w:t xml:space="preserve">the sins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word used here means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propitiated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properly used passively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person to be rendered propitio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is not a strict one:</w:t>
        <w:br w:type="textWrapping"/>
        <w:t xml:space="preserve">but is thus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accounted for: God is</w:t>
        <w:br w:type="textWrapping"/>
        <w:t xml:space="preserve">rendered propitious to the sinner, who</w:t>
        <w:br w:type="textWrapping"/>
        <w:t xml:space="preserve">has forfeited His favour and incurred His</w:t>
        <w:br w:type="textWrapping"/>
        <w:t xml:space="preserve">wrath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we never find in Scripture,</w:t>
        <w:br w:type="textWrapping"/>
        <w:t xml:space="preserve">Old Test. or New Test., any such expression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Father was propitiated concerning our sins by the death of His</w:t>
        <w:br w:type="textWrapping"/>
        <w:t xml:space="preserve">Son;”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as this,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“Christ propitiated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 wrath of God’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His</w:t>
        <w:br w:type="textWrapping"/>
        <w:t xml:space="preserve">blood:”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never,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“God was reconciled to</w:t>
        <w:br w:type="textWrapping"/>
        <w:t xml:space="preserve">us.”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“As the Old Test. nowhere says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sacrifice propitiated God’s wrath, lest</w:t>
        <w:br w:type="textWrapping"/>
        <w:t xml:space="preserve">it should be thought that sacrifice was an</w:t>
        <w:br w:type="textWrapping"/>
        <w:t xml:space="preserve">act, by which, as such, man infl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enced God</w:t>
        <w:br w:type="textWrapping"/>
        <w:t xml:space="preserve">to shew him grace,—so also the New Test.</w:t>
        <w:br w:type="textWrapping"/>
        <w:t xml:space="preserve">never says that the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rifice of Christ propitiated God’s wrath, lest it may be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was an act anticipatory of God’s</w:t>
        <w:br w:type="textWrapping"/>
        <w:t xml:space="preserve">gracious purpose,—which obtained, and so</w:t>
        <w:br w:type="textWrapping"/>
        <w:t xml:space="preserve">to speak, forced from God previously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uctant, without His own concurrence,</w:t>
        <w:br w:type="textWrapping"/>
        <w:t xml:space="preserve">grace instead of wrath.” Delitzsch. To</w:t>
        <w:br w:type="textWrapping"/>
        <w:t xml:space="preserve">understand this rightly, is all-important to</w:t>
        <w:br w:type="textWrapping"/>
        <w:t xml:space="preserve">any right holding of the doctrine of the</w:t>
        <w:br w:type="textWrapping"/>
        <w:t xml:space="preserve">Atonement. This then is not said: but</w:t>
        <w:br w:type="textWrapping"/>
        <w:t xml:space="preserve">the sinner is [improperly, as far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</w:t>
        <w:br w:type="textWrapping"/>
        <w:t xml:space="preserve">of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concerned] said on his part,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propitiated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be brought into God’s</w:t>
        <w:br w:type="textWrapping"/>
        <w:t xml:space="preserve">favour; and if the sinner, then that on</w:t>
        <w:br w:type="textWrapping"/>
        <w:t xml:space="preserve">account of which he is a sinner,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sin. The word here is used of Him who,</w:t>
        <w:br w:type="textWrapping"/>
        <w:t xml:space="preserve">by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propitiation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brings the sinner into</w:t>
        <w:br w:type="textWrapping"/>
        <w:t xml:space="preserve">God’s favour, i.e. makes propitiation for,</w:t>
        <w:br w:type="textWrapping"/>
        <w:t xml:space="preserve">expi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tes, the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Death of Christ</w:t>
        <w:br w:type="textWrapping"/>
        <w:t xml:space="preserve">being the necessary opening and condition</w:t>
        <w:br w:type="textWrapping"/>
        <w:t xml:space="preserve">of this propitiation,—the propitiation being</w:t>
        <w:br w:type="textWrapping"/>
        <w:t xml:space="preserve">once for all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summated by the sacrifice</w:t>
        <w:br w:type="textWrapping"/>
        <w:t xml:space="preserve">of His death, and all sin by that sacrifice</w:t>
        <w:br w:type="textWrapping"/>
        <w:t xml:space="preserve">expiated, we must of necessity determine</w:t>
        <w:br w:type="textWrapping"/>
        <w:t xml:space="preserve">[against the Socinian view of Christ’s High</w:t>
        <w:br w:type="textWrapping"/>
        <w:t xml:space="preserve">Priesthood, which again and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come before us in this commentary] that</w:t>
        <w:br w:type="textWrapping"/>
        <w:t xml:space="preserve">His High Priesthood was, strictly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peaking, begun, as its one chief work in substance was accomplished, here below, during </w:t>
        <w:br w:type="textWrapping"/>
        <w:t xml:space="preserve">His time of suf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ering. That it is still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ontinued in heaven, and indeed finds its highest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noblest employ there, is no reason</w:t>
        <w:br w:type="textWrapping"/>
        <w:t xml:space="preserve">against this view.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accomplished his sacrifice,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he went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9Z3RbZuXcJoe94omgYFkkmAwWA==">CgMxLjA4AHIhMXVwY1g0cWZlV1hUaWd1Y2lsTXdkTGZadEtSd1FVWkZE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